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259B" w14:textId="21A28B22" w:rsidR="000E3AD0" w:rsidRDefault="000E3AD0" w:rsidP="000E3AD0">
      <w:pPr>
        <w:spacing w:after="120"/>
        <w:jc w:val="right"/>
        <w:rPr>
          <w:b/>
          <w:sz w:val="24"/>
          <w:szCs w:val="24"/>
        </w:rPr>
      </w:pPr>
      <w:bookmarkStart w:id="1" w:name="_GoBack"/>
      <w:bookmarkEnd w:id="1"/>
    </w:p>
    <w:p w14:paraId="6E07CA14" w14:textId="77777777" w:rsidR="000E3AD0" w:rsidRDefault="000E3AD0">
      <w:pPr>
        <w:rPr>
          <w:b/>
          <w:sz w:val="24"/>
          <w:szCs w:val="24"/>
        </w:rPr>
      </w:pPr>
    </w:p>
    <w:p w14:paraId="4B7437B6" w14:textId="220618C7" w:rsidR="004579DF" w:rsidRPr="00B80354" w:rsidRDefault="000E3AD0">
      <w:pPr>
        <w:rPr>
          <w:b/>
          <w:sz w:val="28"/>
          <w:szCs w:val="24"/>
        </w:rPr>
      </w:pPr>
      <w:r w:rsidRPr="00B80354">
        <w:rPr>
          <w:b/>
          <w:sz w:val="28"/>
          <w:szCs w:val="24"/>
        </w:rPr>
        <w:t>REFERENCE NUMBER:  MDB/001/2019</w:t>
      </w:r>
    </w:p>
    <w:p w14:paraId="7F72CF1B" w14:textId="77777777" w:rsidR="004579DF" w:rsidRPr="00B80354" w:rsidRDefault="004579DF">
      <w:pPr>
        <w:rPr>
          <w:b/>
          <w:sz w:val="28"/>
          <w:szCs w:val="24"/>
        </w:rPr>
      </w:pPr>
    </w:p>
    <w:p w14:paraId="25385F2F" w14:textId="77777777" w:rsidR="004579DF" w:rsidRDefault="004579DF" w:rsidP="004579DF">
      <w:pPr>
        <w:spacing w:before="120" w:after="120"/>
        <w:jc w:val="center"/>
        <w:rPr>
          <w:b/>
          <w:sz w:val="40"/>
          <w:szCs w:val="24"/>
        </w:rPr>
      </w:pPr>
    </w:p>
    <w:p w14:paraId="41A16997" w14:textId="7EA85CE5" w:rsidR="004579DF" w:rsidRDefault="004579DF" w:rsidP="004579DF">
      <w:pPr>
        <w:spacing w:before="240" w:after="360"/>
        <w:jc w:val="center"/>
        <w:rPr>
          <w:b/>
          <w:sz w:val="40"/>
          <w:szCs w:val="24"/>
        </w:rPr>
      </w:pPr>
      <w:r w:rsidRPr="004579DF">
        <w:rPr>
          <w:b/>
          <w:sz w:val="40"/>
          <w:szCs w:val="24"/>
        </w:rPr>
        <w:t>CALL FOR SERVICE FOR THE IMPLEMENTATION OF THE FINANCIAL INSTRUMENT:</w:t>
      </w:r>
    </w:p>
    <w:p w14:paraId="145EF103" w14:textId="39B44871" w:rsidR="004579DF" w:rsidRDefault="004579DF" w:rsidP="004579DF">
      <w:pPr>
        <w:spacing w:before="240" w:after="360"/>
        <w:jc w:val="center"/>
        <w:rPr>
          <w:b/>
          <w:sz w:val="40"/>
          <w:szCs w:val="24"/>
        </w:rPr>
      </w:pPr>
      <w:r w:rsidRPr="004579DF">
        <w:rPr>
          <w:b/>
          <w:sz w:val="40"/>
          <w:szCs w:val="24"/>
        </w:rPr>
        <w:t>FURTHER STUDIES MADE AFFORDABLE (FSMA)</w:t>
      </w:r>
    </w:p>
    <w:p w14:paraId="544BF5AF" w14:textId="77777777" w:rsidR="004579DF" w:rsidRDefault="004579DF" w:rsidP="004579DF">
      <w:pPr>
        <w:spacing w:before="240" w:after="360"/>
        <w:jc w:val="center"/>
        <w:rPr>
          <w:b/>
          <w:sz w:val="4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13"/>
        <w:gridCol w:w="3006"/>
      </w:tblGrid>
      <w:tr w:rsidR="004579DF" w:rsidRPr="00CC3FA8" w14:paraId="2D089715" w14:textId="77777777" w:rsidTr="004579DF">
        <w:tc>
          <w:tcPr>
            <w:tcW w:w="3397" w:type="dxa"/>
            <w:tcBorders>
              <w:top w:val="single" w:sz="4" w:space="0" w:color="auto"/>
              <w:bottom w:val="single" w:sz="4" w:space="0" w:color="auto"/>
            </w:tcBorders>
          </w:tcPr>
          <w:p w14:paraId="09D1DD82" w14:textId="331D9CE5" w:rsidR="004579DF" w:rsidRPr="004579DF" w:rsidRDefault="004579DF" w:rsidP="004579DF">
            <w:pPr>
              <w:spacing w:before="240" w:after="360"/>
              <w:rPr>
                <w:sz w:val="28"/>
                <w:szCs w:val="24"/>
              </w:rPr>
            </w:pPr>
            <w:r w:rsidRPr="004579DF">
              <w:rPr>
                <w:sz w:val="28"/>
                <w:szCs w:val="24"/>
              </w:rPr>
              <w:t xml:space="preserve">Date </w:t>
            </w:r>
            <w:r w:rsidR="005E65F5" w:rsidRPr="004579DF">
              <w:rPr>
                <w:sz w:val="28"/>
                <w:szCs w:val="24"/>
              </w:rPr>
              <w:t>Published</w:t>
            </w:r>
            <w:r w:rsidR="005E65F5">
              <w:rPr>
                <w:noProof/>
              </w:rPr>
              <w:t>:</w:t>
            </w:r>
          </w:p>
        </w:tc>
        <w:tc>
          <w:tcPr>
            <w:tcW w:w="2613" w:type="dxa"/>
            <w:tcBorders>
              <w:top w:val="single" w:sz="4" w:space="0" w:color="auto"/>
              <w:bottom w:val="single" w:sz="4" w:space="0" w:color="auto"/>
            </w:tcBorders>
          </w:tcPr>
          <w:p w14:paraId="532B7BE6" w14:textId="282F3C59" w:rsidR="004579DF" w:rsidRPr="004579DF" w:rsidRDefault="004579DF" w:rsidP="004579DF">
            <w:pPr>
              <w:spacing w:before="240" w:after="360"/>
              <w:jc w:val="center"/>
              <w:rPr>
                <w:sz w:val="28"/>
                <w:szCs w:val="24"/>
              </w:rPr>
            </w:pPr>
            <w:r w:rsidRPr="004579DF">
              <w:rPr>
                <w:sz w:val="28"/>
                <w:szCs w:val="24"/>
              </w:rPr>
              <w:t>11 June 2019</w:t>
            </w:r>
            <w:r w:rsidR="005E65F5">
              <w:rPr>
                <w:b/>
                <w:noProof/>
                <w:sz w:val="24"/>
                <w:szCs w:val="24"/>
                <w:lang w:eastAsia="en-GB"/>
              </w:rPr>
              <w:t xml:space="preserve"> </w:t>
            </w:r>
          </w:p>
        </w:tc>
        <w:tc>
          <w:tcPr>
            <w:tcW w:w="3006" w:type="dxa"/>
            <w:tcBorders>
              <w:top w:val="single" w:sz="4" w:space="0" w:color="auto"/>
              <w:bottom w:val="single" w:sz="4" w:space="0" w:color="auto"/>
            </w:tcBorders>
          </w:tcPr>
          <w:p w14:paraId="463CFED2" w14:textId="48C541BE" w:rsidR="004579DF" w:rsidRPr="00CC3FA8" w:rsidRDefault="004579DF" w:rsidP="004579DF">
            <w:pPr>
              <w:spacing w:before="240" w:after="360"/>
              <w:jc w:val="center"/>
              <w:rPr>
                <w:sz w:val="28"/>
                <w:szCs w:val="24"/>
                <w:highlight w:val="yellow"/>
              </w:rPr>
            </w:pPr>
            <w:r w:rsidRPr="000E3AD0">
              <w:rPr>
                <w:sz w:val="28"/>
                <w:szCs w:val="24"/>
              </w:rPr>
              <w:t>at 12.00 p.m. CET</w:t>
            </w:r>
          </w:p>
        </w:tc>
      </w:tr>
      <w:tr w:rsidR="004579DF" w14:paraId="690B94EC" w14:textId="77777777" w:rsidTr="004579DF">
        <w:tc>
          <w:tcPr>
            <w:tcW w:w="3397" w:type="dxa"/>
            <w:tcBorders>
              <w:top w:val="single" w:sz="4" w:space="0" w:color="auto"/>
              <w:bottom w:val="single" w:sz="4" w:space="0" w:color="auto"/>
            </w:tcBorders>
          </w:tcPr>
          <w:p w14:paraId="41AD9E14" w14:textId="283F69DE" w:rsidR="004579DF" w:rsidRPr="004579DF" w:rsidRDefault="004579DF" w:rsidP="004579DF">
            <w:pPr>
              <w:spacing w:before="240" w:after="360"/>
              <w:rPr>
                <w:sz w:val="28"/>
                <w:szCs w:val="24"/>
              </w:rPr>
            </w:pPr>
            <w:r w:rsidRPr="004579DF">
              <w:rPr>
                <w:sz w:val="28"/>
                <w:szCs w:val="24"/>
              </w:rPr>
              <w:t>Deadline for Submission:</w:t>
            </w:r>
          </w:p>
        </w:tc>
        <w:tc>
          <w:tcPr>
            <w:tcW w:w="2613" w:type="dxa"/>
            <w:tcBorders>
              <w:top w:val="single" w:sz="4" w:space="0" w:color="auto"/>
              <w:bottom w:val="single" w:sz="4" w:space="0" w:color="auto"/>
            </w:tcBorders>
          </w:tcPr>
          <w:p w14:paraId="3C962F72" w14:textId="0F667C10" w:rsidR="004579DF" w:rsidRPr="004579DF" w:rsidRDefault="004579DF" w:rsidP="004579DF">
            <w:pPr>
              <w:spacing w:before="240" w:after="360"/>
              <w:jc w:val="center"/>
              <w:rPr>
                <w:sz w:val="28"/>
                <w:szCs w:val="24"/>
              </w:rPr>
            </w:pPr>
            <w:r w:rsidRPr="004579DF">
              <w:rPr>
                <w:sz w:val="28"/>
                <w:szCs w:val="24"/>
              </w:rPr>
              <w:t>26 July 2019</w:t>
            </w:r>
          </w:p>
        </w:tc>
        <w:tc>
          <w:tcPr>
            <w:tcW w:w="3006" w:type="dxa"/>
            <w:tcBorders>
              <w:top w:val="single" w:sz="4" w:space="0" w:color="auto"/>
              <w:bottom w:val="single" w:sz="4" w:space="0" w:color="auto"/>
            </w:tcBorders>
          </w:tcPr>
          <w:p w14:paraId="68A6FB82" w14:textId="0B00DFD3" w:rsidR="004579DF" w:rsidRPr="004579DF" w:rsidRDefault="004579DF" w:rsidP="004579DF">
            <w:pPr>
              <w:spacing w:before="240" w:after="360"/>
              <w:jc w:val="center"/>
              <w:rPr>
                <w:sz w:val="28"/>
                <w:szCs w:val="24"/>
              </w:rPr>
            </w:pPr>
            <w:r>
              <w:rPr>
                <w:sz w:val="28"/>
                <w:szCs w:val="24"/>
              </w:rPr>
              <w:t>a</w:t>
            </w:r>
            <w:r w:rsidRPr="004579DF">
              <w:rPr>
                <w:sz w:val="28"/>
                <w:szCs w:val="24"/>
              </w:rPr>
              <w:t>t 12.00 p.m. CET</w:t>
            </w:r>
          </w:p>
        </w:tc>
      </w:tr>
    </w:tbl>
    <w:p w14:paraId="1D643184" w14:textId="77777777" w:rsidR="000E3AD0" w:rsidRDefault="000E3AD0" w:rsidP="000E3AD0">
      <w:pPr>
        <w:spacing w:before="240"/>
        <w:jc w:val="center"/>
        <w:rPr>
          <w:szCs w:val="24"/>
        </w:rPr>
      </w:pPr>
    </w:p>
    <w:p w14:paraId="66FD07D9" w14:textId="40BEB3C2" w:rsidR="000E3AD0" w:rsidRDefault="000E3AD0" w:rsidP="000E3AD0">
      <w:pPr>
        <w:spacing w:before="240"/>
        <w:jc w:val="center"/>
        <w:rPr>
          <w:szCs w:val="24"/>
        </w:rPr>
      </w:pPr>
    </w:p>
    <w:p w14:paraId="1FF17D88" w14:textId="28C637D0" w:rsidR="000E3AD0" w:rsidRDefault="000E3AD0" w:rsidP="000E3AD0">
      <w:pPr>
        <w:spacing w:before="240"/>
        <w:jc w:val="center"/>
        <w:rPr>
          <w:szCs w:val="24"/>
        </w:rPr>
      </w:pPr>
    </w:p>
    <w:p w14:paraId="7AEAC40E" w14:textId="6D0C813B" w:rsidR="000E3AD0" w:rsidRDefault="000E3AD0" w:rsidP="000E3AD0">
      <w:pPr>
        <w:spacing w:before="240"/>
        <w:jc w:val="center"/>
        <w:rPr>
          <w:b/>
          <w:sz w:val="24"/>
          <w:szCs w:val="24"/>
        </w:rPr>
      </w:pPr>
      <w:r w:rsidRPr="00B80354">
        <w:rPr>
          <w:sz w:val="24"/>
          <w:szCs w:val="24"/>
        </w:rPr>
        <w:t xml:space="preserve">Clarifications shall be uploaded and will be available to view / download from </w:t>
      </w:r>
      <w:hyperlink r:id="rId7" w:history="1">
        <w:r w:rsidRPr="00B80354">
          <w:rPr>
            <w:rStyle w:val="Hyperlink"/>
            <w:b/>
            <w:color w:val="auto"/>
            <w:sz w:val="24"/>
            <w:szCs w:val="24"/>
            <w:u w:val="none"/>
          </w:rPr>
          <w:t>www.mdb.org.mt</w:t>
        </w:r>
      </w:hyperlink>
    </w:p>
    <w:p w14:paraId="5D20C989" w14:textId="2764E989" w:rsidR="005E65F5" w:rsidRDefault="005E65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CC3FA8" w14:paraId="7188E7EA" w14:textId="77777777" w:rsidTr="00CC3FA8">
        <w:tc>
          <w:tcPr>
            <w:tcW w:w="7650" w:type="dxa"/>
          </w:tcPr>
          <w:p w14:paraId="73DBDA42" w14:textId="1218D144" w:rsidR="00B80354" w:rsidRDefault="00B80354" w:rsidP="004F65B1">
            <w:pPr>
              <w:spacing w:after="120"/>
              <w:jc w:val="both"/>
              <w:rPr>
                <w:b/>
                <w:sz w:val="28"/>
                <w:szCs w:val="24"/>
              </w:rPr>
            </w:pPr>
          </w:p>
          <w:p w14:paraId="52599FA2" w14:textId="5DB49598" w:rsidR="00CC3FA8" w:rsidRDefault="00CC3FA8" w:rsidP="004F65B1">
            <w:pPr>
              <w:spacing w:after="120"/>
              <w:jc w:val="both"/>
              <w:rPr>
                <w:b/>
                <w:sz w:val="24"/>
                <w:szCs w:val="24"/>
              </w:rPr>
            </w:pPr>
            <w:r w:rsidRPr="00D508AA">
              <w:rPr>
                <w:b/>
                <w:sz w:val="28"/>
                <w:szCs w:val="24"/>
              </w:rPr>
              <w:t>Contents</w:t>
            </w:r>
          </w:p>
        </w:tc>
        <w:tc>
          <w:tcPr>
            <w:tcW w:w="1366" w:type="dxa"/>
          </w:tcPr>
          <w:p w14:paraId="534DFA51" w14:textId="77777777" w:rsidR="00CC3FA8" w:rsidRDefault="00CC3FA8" w:rsidP="004F65B1">
            <w:pPr>
              <w:spacing w:after="120"/>
              <w:jc w:val="both"/>
              <w:rPr>
                <w:b/>
                <w:sz w:val="24"/>
                <w:szCs w:val="24"/>
              </w:rPr>
            </w:pPr>
          </w:p>
        </w:tc>
      </w:tr>
      <w:tr w:rsidR="005A6354" w14:paraId="4DD6F7EF" w14:textId="77777777" w:rsidTr="00CC3FA8">
        <w:tc>
          <w:tcPr>
            <w:tcW w:w="7650" w:type="dxa"/>
          </w:tcPr>
          <w:p w14:paraId="02157563" w14:textId="77777777" w:rsidR="005A6354" w:rsidRDefault="005A6354" w:rsidP="00D508AA">
            <w:pPr>
              <w:jc w:val="both"/>
              <w:rPr>
                <w:sz w:val="24"/>
                <w:szCs w:val="24"/>
              </w:rPr>
            </w:pPr>
          </w:p>
        </w:tc>
        <w:tc>
          <w:tcPr>
            <w:tcW w:w="1366" w:type="dxa"/>
          </w:tcPr>
          <w:p w14:paraId="0C44FE28" w14:textId="77777777" w:rsidR="005A6354" w:rsidRDefault="005A6354" w:rsidP="00D508AA">
            <w:pPr>
              <w:jc w:val="center"/>
              <w:rPr>
                <w:sz w:val="24"/>
                <w:szCs w:val="24"/>
              </w:rPr>
            </w:pPr>
          </w:p>
        </w:tc>
      </w:tr>
      <w:tr w:rsidR="00CC3FA8" w14:paraId="3EB59541" w14:textId="77777777" w:rsidTr="00CC3FA8">
        <w:tc>
          <w:tcPr>
            <w:tcW w:w="7650" w:type="dxa"/>
          </w:tcPr>
          <w:p w14:paraId="28D3CD18" w14:textId="25708105" w:rsidR="00CC3FA8" w:rsidRPr="00CC3FA8" w:rsidRDefault="00CC3FA8" w:rsidP="00D508AA">
            <w:pPr>
              <w:jc w:val="both"/>
              <w:rPr>
                <w:sz w:val="24"/>
                <w:szCs w:val="24"/>
              </w:rPr>
            </w:pPr>
            <w:r>
              <w:rPr>
                <w:sz w:val="24"/>
                <w:szCs w:val="24"/>
              </w:rPr>
              <w:t>Objective</w:t>
            </w:r>
          </w:p>
        </w:tc>
        <w:tc>
          <w:tcPr>
            <w:tcW w:w="1366" w:type="dxa"/>
          </w:tcPr>
          <w:p w14:paraId="606FDE72" w14:textId="0A242459" w:rsidR="00CC3FA8" w:rsidRPr="00CC3FA8" w:rsidRDefault="00725CA9" w:rsidP="00D508AA">
            <w:pPr>
              <w:jc w:val="center"/>
              <w:rPr>
                <w:sz w:val="24"/>
                <w:szCs w:val="24"/>
              </w:rPr>
            </w:pPr>
            <w:r>
              <w:rPr>
                <w:sz w:val="24"/>
                <w:szCs w:val="24"/>
              </w:rPr>
              <w:t>2</w:t>
            </w:r>
          </w:p>
        </w:tc>
      </w:tr>
      <w:tr w:rsidR="005A6354" w14:paraId="3C0B61C7" w14:textId="77777777" w:rsidTr="00CC3FA8">
        <w:tc>
          <w:tcPr>
            <w:tcW w:w="7650" w:type="dxa"/>
          </w:tcPr>
          <w:p w14:paraId="6159A698" w14:textId="77777777" w:rsidR="005A6354" w:rsidRDefault="005A6354" w:rsidP="00D508AA">
            <w:pPr>
              <w:jc w:val="both"/>
              <w:rPr>
                <w:sz w:val="24"/>
                <w:szCs w:val="24"/>
              </w:rPr>
            </w:pPr>
          </w:p>
        </w:tc>
        <w:tc>
          <w:tcPr>
            <w:tcW w:w="1366" w:type="dxa"/>
          </w:tcPr>
          <w:p w14:paraId="4758FDBF" w14:textId="77777777" w:rsidR="005A6354" w:rsidRDefault="005A6354" w:rsidP="00D508AA">
            <w:pPr>
              <w:jc w:val="center"/>
              <w:rPr>
                <w:sz w:val="24"/>
                <w:szCs w:val="24"/>
              </w:rPr>
            </w:pPr>
          </w:p>
        </w:tc>
      </w:tr>
      <w:tr w:rsidR="00CC3FA8" w14:paraId="46A3C01C" w14:textId="77777777" w:rsidTr="00CC3FA8">
        <w:tc>
          <w:tcPr>
            <w:tcW w:w="7650" w:type="dxa"/>
          </w:tcPr>
          <w:p w14:paraId="44FBAA06" w14:textId="1FF63F47" w:rsidR="00CC3FA8" w:rsidRDefault="00CC3FA8" w:rsidP="00D508AA">
            <w:pPr>
              <w:jc w:val="both"/>
              <w:rPr>
                <w:sz w:val="24"/>
                <w:szCs w:val="24"/>
              </w:rPr>
            </w:pPr>
            <w:r>
              <w:rPr>
                <w:sz w:val="24"/>
                <w:szCs w:val="24"/>
              </w:rPr>
              <w:t>Introduction</w:t>
            </w:r>
          </w:p>
        </w:tc>
        <w:tc>
          <w:tcPr>
            <w:tcW w:w="1366" w:type="dxa"/>
          </w:tcPr>
          <w:p w14:paraId="05B6889E" w14:textId="51616614" w:rsidR="00CC3FA8" w:rsidRDefault="00725CA9" w:rsidP="00D508AA">
            <w:pPr>
              <w:jc w:val="center"/>
              <w:rPr>
                <w:sz w:val="24"/>
                <w:szCs w:val="24"/>
              </w:rPr>
            </w:pPr>
            <w:r>
              <w:rPr>
                <w:sz w:val="24"/>
                <w:szCs w:val="24"/>
              </w:rPr>
              <w:t>2</w:t>
            </w:r>
          </w:p>
        </w:tc>
      </w:tr>
      <w:tr w:rsidR="005A6354" w14:paraId="4C2B78FF" w14:textId="77777777" w:rsidTr="00CC3FA8">
        <w:tc>
          <w:tcPr>
            <w:tcW w:w="7650" w:type="dxa"/>
          </w:tcPr>
          <w:p w14:paraId="1C1FCB41" w14:textId="77777777" w:rsidR="005A6354" w:rsidRDefault="005A6354" w:rsidP="00D508AA">
            <w:pPr>
              <w:jc w:val="both"/>
              <w:rPr>
                <w:sz w:val="24"/>
                <w:szCs w:val="24"/>
              </w:rPr>
            </w:pPr>
          </w:p>
        </w:tc>
        <w:tc>
          <w:tcPr>
            <w:tcW w:w="1366" w:type="dxa"/>
          </w:tcPr>
          <w:p w14:paraId="0AC53FC1" w14:textId="77777777" w:rsidR="005A6354" w:rsidRDefault="005A6354" w:rsidP="00D508AA">
            <w:pPr>
              <w:jc w:val="center"/>
              <w:rPr>
                <w:sz w:val="24"/>
                <w:szCs w:val="24"/>
              </w:rPr>
            </w:pPr>
          </w:p>
        </w:tc>
      </w:tr>
      <w:tr w:rsidR="00CC3FA8" w14:paraId="7B858CB5" w14:textId="77777777" w:rsidTr="00CC3FA8">
        <w:tc>
          <w:tcPr>
            <w:tcW w:w="7650" w:type="dxa"/>
          </w:tcPr>
          <w:p w14:paraId="6EA0C07E" w14:textId="59260E85" w:rsidR="00CC3FA8" w:rsidRDefault="00CC3FA8" w:rsidP="00D508AA">
            <w:pPr>
              <w:jc w:val="both"/>
              <w:rPr>
                <w:sz w:val="24"/>
                <w:szCs w:val="24"/>
              </w:rPr>
            </w:pPr>
            <w:r>
              <w:rPr>
                <w:sz w:val="24"/>
                <w:szCs w:val="24"/>
              </w:rPr>
              <w:t xml:space="preserve">Part I:  </w:t>
            </w:r>
            <w:r w:rsidRPr="00CC3FA8">
              <w:rPr>
                <w:sz w:val="24"/>
                <w:szCs w:val="24"/>
              </w:rPr>
              <w:t>Description of the FI (Portfolio Guarantee and Interest Rate Subsidy)</w:t>
            </w:r>
          </w:p>
        </w:tc>
        <w:tc>
          <w:tcPr>
            <w:tcW w:w="1366" w:type="dxa"/>
          </w:tcPr>
          <w:p w14:paraId="2805A487" w14:textId="77777777" w:rsidR="00CC3FA8" w:rsidRDefault="00CC3FA8" w:rsidP="00D508AA">
            <w:pPr>
              <w:jc w:val="center"/>
              <w:rPr>
                <w:sz w:val="24"/>
                <w:szCs w:val="24"/>
              </w:rPr>
            </w:pPr>
          </w:p>
        </w:tc>
      </w:tr>
      <w:tr w:rsidR="00CC3FA8" w14:paraId="12AB09ED" w14:textId="77777777" w:rsidTr="00CC3FA8">
        <w:tc>
          <w:tcPr>
            <w:tcW w:w="7650" w:type="dxa"/>
          </w:tcPr>
          <w:p w14:paraId="3DDEFD91" w14:textId="4527AF7C" w:rsidR="00CC3FA8" w:rsidRPr="00CC3FA8" w:rsidRDefault="00CC3FA8" w:rsidP="005A6354">
            <w:pPr>
              <w:pStyle w:val="ListParagraph"/>
              <w:numPr>
                <w:ilvl w:val="0"/>
                <w:numId w:val="46"/>
              </w:numPr>
              <w:ind w:left="462" w:firstLine="426"/>
              <w:contextualSpacing w:val="0"/>
              <w:jc w:val="both"/>
              <w:rPr>
                <w:sz w:val="24"/>
                <w:szCs w:val="24"/>
              </w:rPr>
            </w:pPr>
            <w:r>
              <w:rPr>
                <w:sz w:val="24"/>
                <w:szCs w:val="24"/>
              </w:rPr>
              <w:t xml:space="preserve">Rationale </w:t>
            </w:r>
          </w:p>
        </w:tc>
        <w:tc>
          <w:tcPr>
            <w:tcW w:w="1366" w:type="dxa"/>
          </w:tcPr>
          <w:p w14:paraId="2EB28BD4" w14:textId="58741757" w:rsidR="00CC3FA8" w:rsidRDefault="00966B31" w:rsidP="00D508AA">
            <w:pPr>
              <w:jc w:val="center"/>
              <w:rPr>
                <w:sz w:val="24"/>
                <w:szCs w:val="24"/>
              </w:rPr>
            </w:pPr>
            <w:r>
              <w:rPr>
                <w:sz w:val="24"/>
                <w:szCs w:val="24"/>
              </w:rPr>
              <w:t>3</w:t>
            </w:r>
          </w:p>
        </w:tc>
      </w:tr>
      <w:tr w:rsidR="00CC3FA8" w14:paraId="0CAF1115" w14:textId="77777777" w:rsidTr="00CC3FA8">
        <w:tc>
          <w:tcPr>
            <w:tcW w:w="7650" w:type="dxa"/>
          </w:tcPr>
          <w:p w14:paraId="4E446E07" w14:textId="5E5BDEB2" w:rsidR="00CC3FA8" w:rsidRDefault="00CC3FA8" w:rsidP="005A6354">
            <w:pPr>
              <w:pStyle w:val="ListParagraph"/>
              <w:numPr>
                <w:ilvl w:val="0"/>
                <w:numId w:val="46"/>
              </w:numPr>
              <w:ind w:left="462" w:firstLine="426"/>
              <w:contextualSpacing w:val="0"/>
              <w:jc w:val="both"/>
              <w:rPr>
                <w:sz w:val="24"/>
                <w:szCs w:val="24"/>
              </w:rPr>
            </w:pPr>
            <w:r>
              <w:rPr>
                <w:sz w:val="24"/>
                <w:szCs w:val="24"/>
              </w:rPr>
              <w:t>The Portfolio Guarantee under the FI</w:t>
            </w:r>
          </w:p>
        </w:tc>
        <w:tc>
          <w:tcPr>
            <w:tcW w:w="1366" w:type="dxa"/>
          </w:tcPr>
          <w:p w14:paraId="323DECB8" w14:textId="1CCE47C9" w:rsidR="00CC3FA8" w:rsidRDefault="00966B31" w:rsidP="00D508AA">
            <w:pPr>
              <w:jc w:val="center"/>
              <w:rPr>
                <w:sz w:val="24"/>
                <w:szCs w:val="24"/>
              </w:rPr>
            </w:pPr>
            <w:r>
              <w:rPr>
                <w:sz w:val="24"/>
                <w:szCs w:val="24"/>
              </w:rPr>
              <w:t>3</w:t>
            </w:r>
          </w:p>
        </w:tc>
      </w:tr>
      <w:tr w:rsidR="005A6354" w14:paraId="1B0EEB44" w14:textId="77777777" w:rsidTr="00CC3FA8">
        <w:tc>
          <w:tcPr>
            <w:tcW w:w="7650" w:type="dxa"/>
          </w:tcPr>
          <w:p w14:paraId="01279585" w14:textId="77777777" w:rsidR="005A6354" w:rsidRDefault="005A6354" w:rsidP="00D508AA">
            <w:pPr>
              <w:jc w:val="both"/>
              <w:rPr>
                <w:sz w:val="24"/>
                <w:szCs w:val="24"/>
              </w:rPr>
            </w:pPr>
          </w:p>
        </w:tc>
        <w:tc>
          <w:tcPr>
            <w:tcW w:w="1366" w:type="dxa"/>
          </w:tcPr>
          <w:p w14:paraId="669FC9D5" w14:textId="77777777" w:rsidR="005A6354" w:rsidRDefault="005A6354" w:rsidP="00D508AA">
            <w:pPr>
              <w:jc w:val="center"/>
              <w:rPr>
                <w:sz w:val="24"/>
                <w:szCs w:val="24"/>
              </w:rPr>
            </w:pPr>
          </w:p>
        </w:tc>
      </w:tr>
      <w:tr w:rsidR="00CC3FA8" w14:paraId="3AF9ABD2" w14:textId="77777777" w:rsidTr="00CC3FA8">
        <w:tc>
          <w:tcPr>
            <w:tcW w:w="7650" w:type="dxa"/>
          </w:tcPr>
          <w:p w14:paraId="007C1000" w14:textId="694A9A02" w:rsidR="00CC3FA8" w:rsidRPr="00CC3FA8" w:rsidRDefault="00CC3FA8" w:rsidP="00D508AA">
            <w:pPr>
              <w:jc w:val="both"/>
              <w:rPr>
                <w:sz w:val="24"/>
                <w:szCs w:val="24"/>
              </w:rPr>
            </w:pPr>
            <w:r>
              <w:rPr>
                <w:sz w:val="24"/>
                <w:szCs w:val="24"/>
              </w:rPr>
              <w:t xml:space="preserve">Part II: </w:t>
            </w:r>
            <w:r w:rsidR="00D508AA">
              <w:rPr>
                <w:sz w:val="24"/>
                <w:szCs w:val="24"/>
              </w:rPr>
              <w:t xml:space="preserve">  </w:t>
            </w:r>
            <w:r>
              <w:rPr>
                <w:sz w:val="24"/>
                <w:szCs w:val="24"/>
              </w:rPr>
              <w:t xml:space="preserve"> Interest Rate Subsidy</w:t>
            </w:r>
          </w:p>
        </w:tc>
        <w:tc>
          <w:tcPr>
            <w:tcW w:w="1366" w:type="dxa"/>
          </w:tcPr>
          <w:p w14:paraId="327E8679" w14:textId="5E3171E4" w:rsidR="00CC3FA8" w:rsidRDefault="00C72F6E" w:rsidP="00D508AA">
            <w:pPr>
              <w:jc w:val="center"/>
              <w:rPr>
                <w:sz w:val="24"/>
                <w:szCs w:val="24"/>
              </w:rPr>
            </w:pPr>
            <w:r>
              <w:rPr>
                <w:sz w:val="24"/>
                <w:szCs w:val="24"/>
              </w:rPr>
              <w:t>4</w:t>
            </w:r>
          </w:p>
        </w:tc>
      </w:tr>
      <w:tr w:rsidR="005A6354" w14:paraId="1EEE03CA" w14:textId="77777777" w:rsidTr="00CC3FA8">
        <w:tc>
          <w:tcPr>
            <w:tcW w:w="7650" w:type="dxa"/>
          </w:tcPr>
          <w:p w14:paraId="4E266163" w14:textId="77777777" w:rsidR="005A6354" w:rsidRDefault="005A6354" w:rsidP="00D508AA">
            <w:pPr>
              <w:jc w:val="both"/>
              <w:rPr>
                <w:sz w:val="24"/>
                <w:szCs w:val="24"/>
              </w:rPr>
            </w:pPr>
          </w:p>
        </w:tc>
        <w:tc>
          <w:tcPr>
            <w:tcW w:w="1366" w:type="dxa"/>
          </w:tcPr>
          <w:p w14:paraId="3172DF51" w14:textId="77777777" w:rsidR="005A6354" w:rsidRDefault="005A6354" w:rsidP="00D508AA">
            <w:pPr>
              <w:jc w:val="center"/>
              <w:rPr>
                <w:sz w:val="24"/>
                <w:szCs w:val="24"/>
              </w:rPr>
            </w:pPr>
          </w:p>
        </w:tc>
      </w:tr>
      <w:tr w:rsidR="00CC3FA8" w14:paraId="3321E917" w14:textId="77777777" w:rsidTr="00CC3FA8">
        <w:tc>
          <w:tcPr>
            <w:tcW w:w="7650" w:type="dxa"/>
          </w:tcPr>
          <w:p w14:paraId="601A76C0" w14:textId="3A8B8CDB" w:rsidR="00CC3FA8" w:rsidRDefault="00CC3FA8" w:rsidP="00D508AA">
            <w:pPr>
              <w:jc w:val="both"/>
              <w:rPr>
                <w:sz w:val="24"/>
                <w:szCs w:val="24"/>
              </w:rPr>
            </w:pPr>
            <w:r>
              <w:rPr>
                <w:sz w:val="24"/>
                <w:szCs w:val="24"/>
              </w:rPr>
              <w:t xml:space="preserve">Part III: </w:t>
            </w:r>
            <w:r w:rsidR="00D508AA">
              <w:rPr>
                <w:sz w:val="24"/>
                <w:szCs w:val="24"/>
              </w:rPr>
              <w:t xml:space="preserve">  </w:t>
            </w:r>
            <w:r>
              <w:rPr>
                <w:sz w:val="24"/>
                <w:szCs w:val="24"/>
              </w:rPr>
              <w:t xml:space="preserve">General features of the FI </w:t>
            </w:r>
          </w:p>
        </w:tc>
        <w:tc>
          <w:tcPr>
            <w:tcW w:w="1366" w:type="dxa"/>
          </w:tcPr>
          <w:p w14:paraId="724A9ACF" w14:textId="60402DEA" w:rsidR="00CC3FA8" w:rsidRDefault="00FA7302" w:rsidP="00D508AA">
            <w:pPr>
              <w:jc w:val="center"/>
              <w:rPr>
                <w:sz w:val="24"/>
                <w:szCs w:val="24"/>
              </w:rPr>
            </w:pPr>
            <w:r>
              <w:rPr>
                <w:sz w:val="24"/>
                <w:szCs w:val="24"/>
              </w:rPr>
              <w:t>4</w:t>
            </w:r>
          </w:p>
        </w:tc>
      </w:tr>
      <w:tr w:rsidR="005A6354" w14:paraId="04E26C90" w14:textId="77777777" w:rsidTr="00CC3FA8">
        <w:tc>
          <w:tcPr>
            <w:tcW w:w="7650" w:type="dxa"/>
          </w:tcPr>
          <w:p w14:paraId="64171675" w14:textId="77777777" w:rsidR="005A6354" w:rsidRDefault="005A6354" w:rsidP="00D508AA">
            <w:pPr>
              <w:jc w:val="both"/>
              <w:rPr>
                <w:sz w:val="24"/>
                <w:szCs w:val="24"/>
              </w:rPr>
            </w:pPr>
          </w:p>
        </w:tc>
        <w:tc>
          <w:tcPr>
            <w:tcW w:w="1366" w:type="dxa"/>
          </w:tcPr>
          <w:p w14:paraId="64C56C8E" w14:textId="77777777" w:rsidR="005A6354" w:rsidRDefault="005A6354" w:rsidP="00D508AA">
            <w:pPr>
              <w:jc w:val="center"/>
              <w:rPr>
                <w:sz w:val="24"/>
                <w:szCs w:val="24"/>
              </w:rPr>
            </w:pPr>
          </w:p>
        </w:tc>
      </w:tr>
      <w:tr w:rsidR="00CC3FA8" w14:paraId="74EB74DF" w14:textId="77777777" w:rsidTr="00CC3FA8">
        <w:tc>
          <w:tcPr>
            <w:tcW w:w="7650" w:type="dxa"/>
          </w:tcPr>
          <w:p w14:paraId="21D07380" w14:textId="72DB5501" w:rsidR="00CC3FA8" w:rsidRDefault="00CC3FA8" w:rsidP="00D508AA">
            <w:pPr>
              <w:jc w:val="both"/>
              <w:rPr>
                <w:sz w:val="24"/>
                <w:szCs w:val="24"/>
              </w:rPr>
            </w:pPr>
            <w:r>
              <w:rPr>
                <w:sz w:val="24"/>
                <w:szCs w:val="24"/>
              </w:rPr>
              <w:t xml:space="preserve">Part IV: </w:t>
            </w:r>
            <w:r w:rsidR="00D508AA">
              <w:rPr>
                <w:sz w:val="24"/>
                <w:szCs w:val="24"/>
              </w:rPr>
              <w:t xml:space="preserve">  </w:t>
            </w:r>
            <w:r>
              <w:rPr>
                <w:sz w:val="24"/>
                <w:szCs w:val="24"/>
              </w:rPr>
              <w:t>Size of the ESF allotted to the FI</w:t>
            </w:r>
          </w:p>
        </w:tc>
        <w:tc>
          <w:tcPr>
            <w:tcW w:w="1366" w:type="dxa"/>
          </w:tcPr>
          <w:p w14:paraId="54EBCB84" w14:textId="7C5AACCE" w:rsidR="00CC3FA8" w:rsidRDefault="00C72F6E" w:rsidP="00D508AA">
            <w:pPr>
              <w:jc w:val="center"/>
              <w:rPr>
                <w:sz w:val="24"/>
                <w:szCs w:val="24"/>
              </w:rPr>
            </w:pPr>
            <w:r>
              <w:rPr>
                <w:sz w:val="24"/>
                <w:szCs w:val="24"/>
              </w:rPr>
              <w:t>5</w:t>
            </w:r>
          </w:p>
        </w:tc>
      </w:tr>
      <w:tr w:rsidR="005A6354" w14:paraId="5B95B40E" w14:textId="77777777" w:rsidTr="00CC3FA8">
        <w:tc>
          <w:tcPr>
            <w:tcW w:w="7650" w:type="dxa"/>
          </w:tcPr>
          <w:p w14:paraId="7EA47FC2" w14:textId="77777777" w:rsidR="005A6354" w:rsidRDefault="005A6354" w:rsidP="00D508AA">
            <w:pPr>
              <w:jc w:val="both"/>
              <w:rPr>
                <w:sz w:val="24"/>
                <w:szCs w:val="24"/>
              </w:rPr>
            </w:pPr>
          </w:p>
        </w:tc>
        <w:tc>
          <w:tcPr>
            <w:tcW w:w="1366" w:type="dxa"/>
          </w:tcPr>
          <w:p w14:paraId="07C64019" w14:textId="77777777" w:rsidR="005A6354" w:rsidRDefault="005A6354" w:rsidP="00D508AA">
            <w:pPr>
              <w:jc w:val="center"/>
              <w:rPr>
                <w:sz w:val="24"/>
                <w:szCs w:val="24"/>
              </w:rPr>
            </w:pPr>
          </w:p>
        </w:tc>
      </w:tr>
      <w:tr w:rsidR="00CC3FA8" w14:paraId="6F140DE0" w14:textId="77777777" w:rsidTr="00CC3FA8">
        <w:tc>
          <w:tcPr>
            <w:tcW w:w="7650" w:type="dxa"/>
          </w:tcPr>
          <w:p w14:paraId="60441CAA" w14:textId="09CAB314" w:rsidR="00CC3FA8" w:rsidRDefault="00CC3FA8" w:rsidP="00D508AA">
            <w:pPr>
              <w:jc w:val="both"/>
              <w:rPr>
                <w:sz w:val="24"/>
                <w:szCs w:val="24"/>
              </w:rPr>
            </w:pPr>
            <w:r>
              <w:rPr>
                <w:sz w:val="24"/>
                <w:szCs w:val="24"/>
              </w:rPr>
              <w:t xml:space="preserve">Part V: </w:t>
            </w:r>
            <w:r w:rsidR="00D508AA">
              <w:rPr>
                <w:sz w:val="24"/>
                <w:szCs w:val="24"/>
              </w:rPr>
              <w:t xml:space="preserve">   </w:t>
            </w:r>
            <w:r>
              <w:rPr>
                <w:sz w:val="24"/>
                <w:szCs w:val="24"/>
              </w:rPr>
              <w:t xml:space="preserve"> Potential Applicants and the Role of Selected Financial Institution/s </w:t>
            </w:r>
          </w:p>
        </w:tc>
        <w:tc>
          <w:tcPr>
            <w:tcW w:w="1366" w:type="dxa"/>
          </w:tcPr>
          <w:p w14:paraId="300C9DF2" w14:textId="6273E0C3" w:rsidR="00CC3FA8" w:rsidRDefault="00C72F6E" w:rsidP="00D508AA">
            <w:pPr>
              <w:jc w:val="center"/>
              <w:rPr>
                <w:sz w:val="24"/>
                <w:szCs w:val="24"/>
              </w:rPr>
            </w:pPr>
            <w:r>
              <w:rPr>
                <w:sz w:val="24"/>
                <w:szCs w:val="24"/>
              </w:rPr>
              <w:t>5</w:t>
            </w:r>
          </w:p>
        </w:tc>
      </w:tr>
      <w:tr w:rsidR="005A6354" w14:paraId="6A428185" w14:textId="77777777" w:rsidTr="00CC3FA8">
        <w:tc>
          <w:tcPr>
            <w:tcW w:w="7650" w:type="dxa"/>
          </w:tcPr>
          <w:p w14:paraId="356CB473" w14:textId="77777777" w:rsidR="005A6354" w:rsidRDefault="005A6354" w:rsidP="00D508AA">
            <w:pPr>
              <w:jc w:val="both"/>
              <w:rPr>
                <w:sz w:val="24"/>
                <w:szCs w:val="24"/>
              </w:rPr>
            </w:pPr>
          </w:p>
        </w:tc>
        <w:tc>
          <w:tcPr>
            <w:tcW w:w="1366" w:type="dxa"/>
          </w:tcPr>
          <w:p w14:paraId="265371D3" w14:textId="77777777" w:rsidR="005A6354" w:rsidRDefault="005A6354" w:rsidP="00D508AA">
            <w:pPr>
              <w:jc w:val="center"/>
              <w:rPr>
                <w:sz w:val="24"/>
                <w:szCs w:val="24"/>
              </w:rPr>
            </w:pPr>
          </w:p>
        </w:tc>
      </w:tr>
      <w:tr w:rsidR="00CC3FA8" w14:paraId="1DCBC96F" w14:textId="77777777" w:rsidTr="00CC3FA8">
        <w:tc>
          <w:tcPr>
            <w:tcW w:w="7650" w:type="dxa"/>
          </w:tcPr>
          <w:p w14:paraId="3727F683" w14:textId="365D0F4D" w:rsidR="00CC3FA8" w:rsidRDefault="00CC3FA8" w:rsidP="00D508AA">
            <w:pPr>
              <w:jc w:val="both"/>
              <w:rPr>
                <w:sz w:val="24"/>
                <w:szCs w:val="24"/>
              </w:rPr>
            </w:pPr>
            <w:r>
              <w:rPr>
                <w:sz w:val="24"/>
                <w:szCs w:val="24"/>
              </w:rPr>
              <w:t xml:space="preserve">Part VI: </w:t>
            </w:r>
            <w:r w:rsidR="00D508AA">
              <w:rPr>
                <w:sz w:val="24"/>
                <w:szCs w:val="24"/>
              </w:rPr>
              <w:t xml:space="preserve">  </w:t>
            </w:r>
            <w:r>
              <w:rPr>
                <w:sz w:val="24"/>
                <w:szCs w:val="24"/>
              </w:rPr>
              <w:t>Call for Service</w:t>
            </w:r>
          </w:p>
        </w:tc>
        <w:tc>
          <w:tcPr>
            <w:tcW w:w="1366" w:type="dxa"/>
          </w:tcPr>
          <w:p w14:paraId="1328C2F4" w14:textId="0B4274ED" w:rsidR="00CC3FA8" w:rsidRDefault="00FA7302" w:rsidP="00D508AA">
            <w:pPr>
              <w:jc w:val="center"/>
              <w:rPr>
                <w:sz w:val="24"/>
                <w:szCs w:val="24"/>
              </w:rPr>
            </w:pPr>
            <w:r>
              <w:rPr>
                <w:sz w:val="24"/>
                <w:szCs w:val="24"/>
              </w:rPr>
              <w:t>5</w:t>
            </w:r>
          </w:p>
        </w:tc>
      </w:tr>
      <w:tr w:rsidR="00CC3FA8" w14:paraId="0BE82CFD" w14:textId="77777777" w:rsidTr="00CC3FA8">
        <w:tc>
          <w:tcPr>
            <w:tcW w:w="7650" w:type="dxa"/>
          </w:tcPr>
          <w:p w14:paraId="28FF1623" w14:textId="34F2B020" w:rsidR="00CC3FA8" w:rsidRPr="005A6354" w:rsidRDefault="00CC3FA8" w:rsidP="005A6354">
            <w:pPr>
              <w:pStyle w:val="ListParagraph"/>
              <w:numPr>
                <w:ilvl w:val="0"/>
                <w:numId w:val="51"/>
              </w:numPr>
              <w:ind w:left="1455" w:hanging="567"/>
              <w:jc w:val="both"/>
              <w:rPr>
                <w:sz w:val="24"/>
                <w:szCs w:val="24"/>
              </w:rPr>
            </w:pPr>
            <w:r w:rsidRPr="005A6354">
              <w:rPr>
                <w:sz w:val="24"/>
                <w:szCs w:val="24"/>
              </w:rPr>
              <w:t>Call for Service Template</w:t>
            </w:r>
          </w:p>
        </w:tc>
        <w:tc>
          <w:tcPr>
            <w:tcW w:w="1366" w:type="dxa"/>
          </w:tcPr>
          <w:p w14:paraId="5D0109F7" w14:textId="16DB657E" w:rsidR="00CC3FA8" w:rsidRDefault="00FA7302" w:rsidP="00D508AA">
            <w:pPr>
              <w:jc w:val="center"/>
              <w:rPr>
                <w:sz w:val="24"/>
                <w:szCs w:val="24"/>
              </w:rPr>
            </w:pPr>
            <w:r>
              <w:rPr>
                <w:sz w:val="24"/>
                <w:szCs w:val="24"/>
              </w:rPr>
              <w:t>5</w:t>
            </w:r>
          </w:p>
        </w:tc>
      </w:tr>
      <w:tr w:rsidR="00CC3FA8" w14:paraId="780E3074" w14:textId="77777777" w:rsidTr="00CC3FA8">
        <w:tc>
          <w:tcPr>
            <w:tcW w:w="7650" w:type="dxa"/>
          </w:tcPr>
          <w:p w14:paraId="7220438E" w14:textId="67EDD439" w:rsidR="00CC3FA8" w:rsidRPr="005A6354" w:rsidRDefault="00CC3FA8" w:rsidP="005A6354">
            <w:pPr>
              <w:pStyle w:val="ListParagraph"/>
              <w:numPr>
                <w:ilvl w:val="0"/>
                <w:numId w:val="51"/>
              </w:numPr>
              <w:ind w:left="1455" w:hanging="567"/>
              <w:jc w:val="both"/>
              <w:rPr>
                <w:sz w:val="24"/>
                <w:szCs w:val="24"/>
              </w:rPr>
            </w:pPr>
            <w:r w:rsidRPr="005A6354">
              <w:rPr>
                <w:sz w:val="24"/>
                <w:szCs w:val="24"/>
              </w:rPr>
              <w:t>Requests for clarifications</w:t>
            </w:r>
          </w:p>
        </w:tc>
        <w:tc>
          <w:tcPr>
            <w:tcW w:w="1366" w:type="dxa"/>
          </w:tcPr>
          <w:p w14:paraId="5ACCA621" w14:textId="6B952186" w:rsidR="00CC3FA8" w:rsidRDefault="00FA7302" w:rsidP="00D508AA">
            <w:pPr>
              <w:jc w:val="center"/>
              <w:rPr>
                <w:sz w:val="24"/>
                <w:szCs w:val="24"/>
              </w:rPr>
            </w:pPr>
            <w:r>
              <w:rPr>
                <w:sz w:val="24"/>
                <w:szCs w:val="24"/>
              </w:rPr>
              <w:t>5</w:t>
            </w:r>
          </w:p>
        </w:tc>
      </w:tr>
      <w:tr w:rsidR="00CC3FA8" w14:paraId="00376B34" w14:textId="77777777" w:rsidTr="00CC3FA8">
        <w:tc>
          <w:tcPr>
            <w:tcW w:w="7650" w:type="dxa"/>
          </w:tcPr>
          <w:p w14:paraId="464893BC" w14:textId="149F3370" w:rsidR="00CC3FA8" w:rsidRPr="005A6354" w:rsidRDefault="00CC3FA8" w:rsidP="005A6354">
            <w:pPr>
              <w:pStyle w:val="ListParagraph"/>
              <w:numPr>
                <w:ilvl w:val="0"/>
                <w:numId w:val="51"/>
              </w:numPr>
              <w:ind w:left="1455" w:hanging="567"/>
              <w:jc w:val="both"/>
              <w:rPr>
                <w:sz w:val="24"/>
                <w:szCs w:val="24"/>
              </w:rPr>
            </w:pPr>
            <w:r w:rsidRPr="005A6354">
              <w:rPr>
                <w:sz w:val="24"/>
                <w:szCs w:val="24"/>
              </w:rPr>
              <w:t>Submission of the Call for Service</w:t>
            </w:r>
          </w:p>
        </w:tc>
        <w:tc>
          <w:tcPr>
            <w:tcW w:w="1366" w:type="dxa"/>
          </w:tcPr>
          <w:p w14:paraId="69586C16" w14:textId="48642455" w:rsidR="00CC3FA8" w:rsidRDefault="00FA7302" w:rsidP="00D508AA">
            <w:pPr>
              <w:jc w:val="center"/>
              <w:rPr>
                <w:sz w:val="24"/>
                <w:szCs w:val="24"/>
              </w:rPr>
            </w:pPr>
            <w:r>
              <w:rPr>
                <w:sz w:val="24"/>
                <w:szCs w:val="24"/>
              </w:rPr>
              <w:t>6</w:t>
            </w:r>
          </w:p>
        </w:tc>
      </w:tr>
      <w:tr w:rsidR="00CC3FA8" w14:paraId="65316A46" w14:textId="77777777" w:rsidTr="00CC3FA8">
        <w:tc>
          <w:tcPr>
            <w:tcW w:w="7650" w:type="dxa"/>
          </w:tcPr>
          <w:p w14:paraId="533D06BA" w14:textId="4F71BA87" w:rsidR="00CC3FA8" w:rsidRPr="005A6354" w:rsidRDefault="00CC3FA8" w:rsidP="005A6354">
            <w:pPr>
              <w:pStyle w:val="ListParagraph"/>
              <w:numPr>
                <w:ilvl w:val="0"/>
                <w:numId w:val="51"/>
              </w:numPr>
              <w:ind w:left="1455" w:hanging="567"/>
              <w:jc w:val="both"/>
              <w:rPr>
                <w:sz w:val="24"/>
                <w:szCs w:val="24"/>
              </w:rPr>
            </w:pPr>
            <w:r w:rsidRPr="005A6354">
              <w:rPr>
                <w:sz w:val="24"/>
                <w:szCs w:val="24"/>
              </w:rPr>
              <w:t>The timelines of the Call for Service</w:t>
            </w:r>
          </w:p>
        </w:tc>
        <w:tc>
          <w:tcPr>
            <w:tcW w:w="1366" w:type="dxa"/>
          </w:tcPr>
          <w:p w14:paraId="6737DD4B" w14:textId="10B5F9D2" w:rsidR="00CC3FA8" w:rsidRDefault="00FA7302" w:rsidP="00D508AA">
            <w:pPr>
              <w:jc w:val="center"/>
              <w:rPr>
                <w:sz w:val="24"/>
                <w:szCs w:val="24"/>
              </w:rPr>
            </w:pPr>
            <w:r>
              <w:rPr>
                <w:sz w:val="24"/>
                <w:szCs w:val="24"/>
              </w:rPr>
              <w:t>6</w:t>
            </w:r>
          </w:p>
        </w:tc>
      </w:tr>
      <w:tr w:rsidR="00CC3FA8" w14:paraId="4F708FAD" w14:textId="77777777" w:rsidTr="00CC3FA8">
        <w:tc>
          <w:tcPr>
            <w:tcW w:w="7650" w:type="dxa"/>
          </w:tcPr>
          <w:p w14:paraId="466B70A9" w14:textId="5EC890DD" w:rsidR="00CC3FA8" w:rsidRPr="005A6354" w:rsidRDefault="00CC3FA8" w:rsidP="005A6354">
            <w:pPr>
              <w:pStyle w:val="ListParagraph"/>
              <w:numPr>
                <w:ilvl w:val="0"/>
                <w:numId w:val="51"/>
              </w:numPr>
              <w:ind w:left="1455" w:hanging="567"/>
              <w:jc w:val="both"/>
              <w:rPr>
                <w:sz w:val="24"/>
                <w:szCs w:val="24"/>
              </w:rPr>
            </w:pPr>
            <w:r w:rsidRPr="005A6354">
              <w:rPr>
                <w:sz w:val="24"/>
                <w:szCs w:val="24"/>
              </w:rPr>
              <w:t>Amendments to Call for Service</w:t>
            </w:r>
          </w:p>
        </w:tc>
        <w:tc>
          <w:tcPr>
            <w:tcW w:w="1366" w:type="dxa"/>
          </w:tcPr>
          <w:p w14:paraId="22CDE255" w14:textId="6E2BC1E1" w:rsidR="00CC3FA8" w:rsidRDefault="00C72F6E" w:rsidP="00D508AA">
            <w:pPr>
              <w:jc w:val="center"/>
              <w:rPr>
                <w:sz w:val="24"/>
                <w:szCs w:val="24"/>
              </w:rPr>
            </w:pPr>
            <w:r>
              <w:rPr>
                <w:sz w:val="24"/>
                <w:szCs w:val="24"/>
              </w:rPr>
              <w:t>7</w:t>
            </w:r>
          </w:p>
        </w:tc>
      </w:tr>
      <w:tr w:rsidR="00CC3FA8" w14:paraId="5C6FC38C" w14:textId="77777777" w:rsidTr="00CC3FA8">
        <w:tc>
          <w:tcPr>
            <w:tcW w:w="7650" w:type="dxa"/>
          </w:tcPr>
          <w:p w14:paraId="44B9C5DC" w14:textId="011CE623" w:rsidR="00CC3FA8" w:rsidRPr="005A6354" w:rsidRDefault="00CC3FA8" w:rsidP="005A6354">
            <w:pPr>
              <w:pStyle w:val="ListParagraph"/>
              <w:numPr>
                <w:ilvl w:val="0"/>
                <w:numId w:val="51"/>
              </w:numPr>
              <w:ind w:left="1455" w:hanging="567"/>
              <w:jc w:val="both"/>
              <w:rPr>
                <w:sz w:val="24"/>
                <w:szCs w:val="24"/>
              </w:rPr>
            </w:pPr>
            <w:r w:rsidRPr="005A6354">
              <w:rPr>
                <w:sz w:val="24"/>
                <w:szCs w:val="24"/>
              </w:rPr>
              <w:t>Appeal</w:t>
            </w:r>
          </w:p>
        </w:tc>
        <w:tc>
          <w:tcPr>
            <w:tcW w:w="1366" w:type="dxa"/>
          </w:tcPr>
          <w:p w14:paraId="25E850C8" w14:textId="3245ABAF" w:rsidR="00CC3FA8" w:rsidRDefault="00C72F6E" w:rsidP="00D508AA">
            <w:pPr>
              <w:jc w:val="center"/>
              <w:rPr>
                <w:sz w:val="24"/>
                <w:szCs w:val="24"/>
              </w:rPr>
            </w:pPr>
            <w:r>
              <w:rPr>
                <w:sz w:val="24"/>
                <w:szCs w:val="24"/>
              </w:rPr>
              <w:t>7</w:t>
            </w:r>
          </w:p>
        </w:tc>
      </w:tr>
      <w:tr w:rsidR="005A6354" w14:paraId="3748514F" w14:textId="77777777" w:rsidTr="00CC3FA8">
        <w:tc>
          <w:tcPr>
            <w:tcW w:w="7650" w:type="dxa"/>
          </w:tcPr>
          <w:p w14:paraId="7C226EAE" w14:textId="77777777" w:rsidR="005A6354" w:rsidRDefault="005A6354" w:rsidP="00D508AA">
            <w:pPr>
              <w:jc w:val="both"/>
              <w:rPr>
                <w:sz w:val="24"/>
                <w:szCs w:val="24"/>
              </w:rPr>
            </w:pPr>
          </w:p>
        </w:tc>
        <w:tc>
          <w:tcPr>
            <w:tcW w:w="1366" w:type="dxa"/>
          </w:tcPr>
          <w:p w14:paraId="4FFCFB7A" w14:textId="77777777" w:rsidR="005A6354" w:rsidRDefault="005A6354" w:rsidP="00D508AA">
            <w:pPr>
              <w:jc w:val="center"/>
              <w:rPr>
                <w:sz w:val="24"/>
                <w:szCs w:val="24"/>
              </w:rPr>
            </w:pPr>
          </w:p>
        </w:tc>
      </w:tr>
      <w:tr w:rsidR="00D508AA" w14:paraId="204B7130" w14:textId="77777777" w:rsidTr="00CC3FA8">
        <w:tc>
          <w:tcPr>
            <w:tcW w:w="7650" w:type="dxa"/>
          </w:tcPr>
          <w:p w14:paraId="3C4CB4B3" w14:textId="0795B4EA" w:rsidR="00D508AA" w:rsidRPr="00D508AA" w:rsidRDefault="00D508AA" w:rsidP="00D508AA">
            <w:pPr>
              <w:jc w:val="both"/>
              <w:rPr>
                <w:sz w:val="24"/>
                <w:szCs w:val="24"/>
              </w:rPr>
            </w:pPr>
            <w:r>
              <w:rPr>
                <w:sz w:val="24"/>
                <w:szCs w:val="24"/>
              </w:rPr>
              <w:t>Part VII:  Selection process</w:t>
            </w:r>
          </w:p>
        </w:tc>
        <w:tc>
          <w:tcPr>
            <w:tcW w:w="1366" w:type="dxa"/>
          </w:tcPr>
          <w:p w14:paraId="65BD0A92" w14:textId="5E70E318" w:rsidR="00D508AA" w:rsidRDefault="00FA7302" w:rsidP="00D508AA">
            <w:pPr>
              <w:jc w:val="center"/>
              <w:rPr>
                <w:sz w:val="24"/>
                <w:szCs w:val="24"/>
              </w:rPr>
            </w:pPr>
            <w:r>
              <w:rPr>
                <w:sz w:val="24"/>
                <w:szCs w:val="24"/>
              </w:rPr>
              <w:t>7</w:t>
            </w:r>
          </w:p>
        </w:tc>
      </w:tr>
      <w:tr w:rsidR="005A6354" w14:paraId="5372389C" w14:textId="77777777" w:rsidTr="00CC3FA8">
        <w:tc>
          <w:tcPr>
            <w:tcW w:w="7650" w:type="dxa"/>
          </w:tcPr>
          <w:p w14:paraId="21D1AC51" w14:textId="77777777" w:rsidR="005A6354" w:rsidRDefault="005A6354" w:rsidP="00D508AA">
            <w:pPr>
              <w:jc w:val="both"/>
              <w:rPr>
                <w:sz w:val="24"/>
                <w:szCs w:val="24"/>
              </w:rPr>
            </w:pPr>
          </w:p>
        </w:tc>
        <w:tc>
          <w:tcPr>
            <w:tcW w:w="1366" w:type="dxa"/>
          </w:tcPr>
          <w:p w14:paraId="03CC6603" w14:textId="77777777" w:rsidR="005A6354" w:rsidRDefault="005A6354" w:rsidP="00D508AA">
            <w:pPr>
              <w:jc w:val="center"/>
              <w:rPr>
                <w:sz w:val="24"/>
                <w:szCs w:val="24"/>
              </w:rPr>
            </w:pPr>
          </w:p>
        </w:tc>
      </w:tr>
      <w:tr w:rsidR="00D508AA" w14:paraId="490D3F1D" w14:textId="77777777" w:rsidTr="00CC3FA8">
        <w:tc>
          <w:tcPr>
            <w:tcW w:w="7650" w:type="dxa"/>
          </w:tcPr>
          <w:p w14:paraId="5F6A4FF9" w14:textId="75B41819" w:rsidR="00D508AA" w:rsidRDefault="00D508AA" w:rsidP="00D508AA">
            <w:pPr>
              <w:jc w:val="both"/>
              <w:rPr>
                <w:sz w:val="24"/>
                <w:szCs w:val="24"/>
              </w:rPr>
            </w:pPr>
            <w:r>
              <w:rPr>
                <w:sz w:val="24"/>
                <w:szCs w:val="24"/>
              </w:rPr>
              <w:t>Part VIII: Operational provisions</w:t>
            </w:r>
          </w:p>
        </w:tc>
        <w:tc>
          <w:tcPr>
            <w:tcW w:w="1366" w:type="dxa"/>
          </w:tcPr>
          <w:p w14:paraId="0C8AEF5B" w14:textId="514D9B2F" w:rsidR="00D508AA" w:rsidRDefault="00FA7302" w:rsidP="00D508AA">
            <w:pPr>
              <w:jc w:val="center"/>
              <w:rPr>
                <w:sz w:val="24"/>
                <w:szCs w:val="24"/>
              </w:rPr>
            </w:pPr>
            <w:r>
              <w:rPr>
                <w:sz w:val="24"/>
                <w:szCs w:val="24"/>
              </w:rPr>
              <w:t>8</w:t>
            </w:r>
          </w:p>
        </w:tc>
      </w:tr>
      <w:tr w:rsidR="00D508AA" w14:paraId="42A093E0" w14:textId="77777777" w:rsidTr="00CC3FA8">
        <w:tc>
          <w:tcPr>
            <w:tcW w:w="7650" w:type="dxa"/>
          </w:tcPr>
          <w:p w14:paraId="7571ADE7" w14:textId="77777777" w:rsidR="00D508AA" w:rsidRDefault="00D508AA" w:rsidP="00D508AA">
            <w:pPr>
              <w:jc w:val="both"/>
              <w:rPr>
                <w:sz w:val="24"/>
                <w:szCs w:val="24"/>
              </w:rPr>
            </w:pPr>
          </w:p>
        </w:tc>
        <w:tc>
          <w:tcPr>
            <w:tcW w:w="1366" w:type="dxa"/>
          </w:tcPr>
          <w:p w14:paraId="25297600" w14:textId="77777777" w:rsidR="00D508AA" w:rsidRDefault="00D508AA" w:rsidP="00D508AA">
            <w:pPr>
              <w:jc w:val="center"/>
              <w:rPr>
                <w:sz w:val="24"/>
                <w:szCs w:val="24"/>
              </w:rPr>
            </w:pPr>
          </w:p>
        </w:tc>
      </w:tr>
      <w:tr w:rsidR="00D508AA" w14:paraId="5E8C97F4" w14:textId="77777777" w:rsidTr="00CC3FA8">
        <w:tc>
          <w:tcPr>
            <w:tcW w:w="7650" w:type="dxa"/>
          </w:tcPr>
          <w:p w14:paraId="1E0F6979" w14:textId="15D9A4D3" w:rsidR="00D508AA" w:rsidRDefault="00D508AA" w:rsidP="00D508AA">
            <w:pPr>
              <w:jc w:val="both"/>
              <w:rPr>
                <w:sz w:val="24"/>
                <w:szCs w:val="24"/>
              </w:rPr>
            </w:pPr>
            <w:r>
              <w:rPr>
                <w:sz w:val="24"/>
                <w:szCs w:val="24"/>
              </w:rPr>
              <w:t>Annex 1 – Selection Criteria to Call for Service No. MDB/001/2019</w:t>
            </w:r>
          </w:p>
        </w:tc>
        <w:tc>
          <w:tcPr>
            <w:tcW w:w="1366" w:type="dxa"/>
          </w:tcPr>
          <w:p w14:paraId="504E151B" w14:textId="0A8B5F07" w:rsidR="00D508AA" w:rsidRDefault="00FA7302" w:rsidP="00D508AA">
            <w:pPr>
              <w:jc w:val="center"/>
              <w:rPr>
                <w:sz w:val="24"/>
                <w:szCs w:val="24"/>
              </w:rPr>
            </w:pPr>
            <w:r>
              <w:rPr>
                <w:sz w:val="24"/>
                <w:szCs w:val="24"/>
              </w:rPr>
              <w:t>19</w:t>
            </w:r>
          </w:p>
        </w:tc>
      </w:tr>
      <w:tr w:rsidR="00D508AA" w14:paraId="250CFA8E" w14:textId="77777777" w:rsidTr="00CC3FA8">
        <w:tc>
          <w:tcPr>
            <w:tcW w:w="7650" w:type="dxa"/>
          </w:tcPr>
          <w:p w14:paraId="7B3B3ECA" w14:textId="77777777" w:rsidR="00D508AA" w:rsidRDefault="00D508AA" w:rsidP="00D508AA">
            <w:pPr>
              <w:jc w:val="both"/>
              <w:rPr>
                <w:sz w:val="24"/>
                <w:szCs w:val="24"/>
              </w:rPr>
            </w:pPr>
          </w:p>
        </w:tc>
        <w:tc>
          <w:tcPr>
            <w:tcW w:w="1366" w:type="dxa"/>
          </w:tcPr>
          <w:p w14:paraId="2AE4C2AC" w14:textId="77777777" w:rsidR="00D508AA" w:rsidRDefault="00D508AA" w:rsidP="00D508AA">
            <w:pPr>
              <w:jc w:val="center"/>
              <w:rPr>
                <w:sz w:val="24"/>
                <w:szCs w:val="24"/>
              </w:rPr>
            </w:pPr>
          </w:p>
        </w:tc>
      </w:tr>
      <w:tr w:rsidR="00D508AA" w14:paraId="4623E167" w14:textId="77777777" w:rsidTr="00CC3FA8">
        <w:tc>
          <w:tcPr>
            <w:tcW w:w="7650" w:type="dxa"/>
          </w:tcPr>
          <w:p w14:paraId="6C03C152" w14:textId="7FEF49BE" w:rsidR="00D508AA" w:rsidRDefault="00D508AA" w:rsidP="00D508AA">
            <w:pPr>
              <w:jc w:val="both"/>
              <w:rPr>
                <w:sz w:val="24"/>
                <w:szCs w:val="24"/>
              </w:rPr>
            </w:pPr>
            <w:r>
              <w:rPr>
                <w:sz w:val="24"/>
                <w:szCs w:val="24"/>
              </w:rPr>
              <w:t>Annex 2 – Award Criteria to Call for Service No. MDB/001/ 2019</w:t>
            </w:r>
          </w:p>
        </w:tc>
        <w:tc>
          <w:tcPr>
            <w:tcW w:w="1366" w:type="dxa"/>
          </w:tcPr>
          <w:p w14:paraId="671C5CE0" w14:textId="095EAE7F" w:rsidR="00D508AA" w:rsidRDefault="00C72F6E" w:rsidP="00D508AA">
            <w:pPr>
              <w:jc w:val="center"/>
              <w:rPr>
                <w:sz w:val="24"/>
                <w:szCs w:val="24"/>
              </w:rPr>
            </w:pPr>
            <w:r>
              <w:rPr>
                <w:sz w:val="24"/>
                <w:szCs w:val="24"/>
              </w:rPr>
              <w:t>2</w:t>
            </w:r>
            <w:r w:rsidR="00FA7302">
              <w:rPr>
                <w:sz w:val="24"/>
                <w:szCs w:val="24"/>
              </w:rPr>
              <w:t>0</w:t>
            </w:r>
          </w:p>
        </w:tc>
      </w:tr>
      <w:tr w:rsidR="00D508AA" w14:paraId="739B19BE" w14:textId="77777777" w:rsidTr="00CC3FA8">
        <w:tc>
          <w:tcPr>
            <w:tcW w:w="7650" w:type="dxa"/>
          </w:tcPr>
          <w:p w14:paraId="45DB99B1" w14:textId="77777777" w:rsidR="00D508AA" w:rsidRDefault="00D508AA" w:rsidP="00D508AA">
            <w:pPr>
              <w:jc w:val="both"/>
              <w:rPr>
                <w:sz w:val="24"/>
                <w:szCs w:val="24"/>
              </w:rPr>
            </w:pPr>
          </w:p>
        </w:tc>
        <w:tc>
          <w:tcPr>
            <w:tcW w:w="1366" w:type="dxa"/>
          </w:tcPr>
          <w:p w14:paraId="14A40687" w14:textId="77777777" w:rsidR="00D508AA" w:rsidRDefault="00D508AA" w:rsidP="00D508AA">
            <w:pPr>
              <w:jc w:val="center"/>
              <w:rPr>
                <w:sz w:val="24"/>
                <w:szCs w:val="24"/>
              </w:rPr>
            </w:pPr>
          </w:p>
        </w:tc>
      </w:tr>
      <w:tr w:rsidR="00D508AA" w14:paraId="00D1ACCD" w14:textId="77777777" w:rsidTr="00CC3FA8">
        <w:tc>
          <w:tcPr>
            <w:tcW w:w="7650" w:type="dxa"/>
          </w:tcPr>
          <w:p w14:paraId="0A16FA92" w14:textId="1357E2FF" w:rsidR="00D508AA" w:rsidRDefault="00D508AA" w:rsidP="00D508AA">
            <w:pPr>
              <w:jc w:val="both"/>
              <w:rPr>
                <w:sz w:val="24"/>
                <w:szCs w:val="24"/>
              </w:rPr>
            </w:pPr>
            <w:r>
              <w:rPr>
                <w:sz w:val="24"/>
                <w:szCs w:val="24"/>
              </w:rPr>
              <w:t>Explanatory Notes related to the evaluation of the Award Criteria</w:t>
            </w:r>
          </w:p>
        </w:tc>
        <w:tc>
          <w:tcPr>
            <w:tcW w:w="1366" w:type="dxa"/>
          </w:tcPr>
          <w:p w14:paraId="2E976385" w14:textId="41816B74" w:rsidR="00D508AA" w:rsidRDefault="00D508AA" w:rsidP="00D508AA">
            <w:pPr>
              <w:jc w:val="center"/>
              <w:rPr>
                <w:sz w:val="24"/>
                <w:szCs w:val="24"/>
              </w:rPr>
            </w:pPr>
            <w:r>
              <w:rPr>
                <w:sz w:val="24"/>
                <w:szCs w:val="24"/>
              </w:rPr>
              <w:t>2</w:t>
            </w:r>
            <w:r w:rsidR="00FA7302">
              <w:rPr>
                <w:sz w:val="24"/>
                <w:szCs w:val="24"/>
              </w:rPr>
              <w:t>1</w:t>
            </w:r>
          </w:p>
        </w:tc>
      </w:tr>
      <w:tr w:rsidR="00D508AA" w14:paraId="5F618945" w14:textId="77777777" w:rsidTr="00CC3FA8">
        <w:tc>
          <w:tcPr>
            <w:tcW w:w="7650" w:type="dxa"/>
          </w:tcPr>
          <w:p w14:paraId="1F02DBBB" w14:textId="77777777" w:rsidR="00D508AA" w:rsidRDefault="00D508AA" w:rsidP="00D508AA">
            <w:pPr>
              <w:jc w:val="both"/>
              <w:rPr>
                <w:sz w:val="24"/>
                <w:szCs w:val="24"/>
              </w:rPr>
            </w:pPr>
          </w:p>
        </w:tc>
        <w:tc>
          <w:tcPr>
            <w:tcW w:w="1366" w:type="dxa"/>
          </w:tcPr>
          <w:p w14:paraId="4BB44FAD" w14:textId="77777777" w:rsidR="00D508AA" w:rsidRDefault="00D508AA" w:rsidP="00D508AA">
            <w:pPr>
              <w:jc w:val="center"/>
              <w:rPr>
                <w:sz w:val="24"/>
                <w:szCs w:val="24"/>
              </w:rPr>
            </w:pPr>
          </w:p>
        </w:tc>
      </w:tr>
      <w:tr w:rsidR="00D508AA" w14:paraId="78AD397B" w14:textId="77777777" w:rsidTr="00CC3FA8">
        <w:tc>
          <w:tcPr>
            <w:tcW w:w="7650" w:type="dxa"/>
          </w:tcPr>
          <w:p w14:paraId="14374637" w14:textId="381B0E5C" w:rsidR="00D508AA" w:rsidRDefault="00D508AA" w:rsidP="00D508AA">
            <w:pPr>
              <w:jc w:val="both"/>
              <w:rPr>
                <w:sz w:val="24"/>
                <w:szCs w:val="24"/>
              </w:rPr>
            </w:pPr>
            <w:r>
              <w:rPr>
                <w:sz w:val="24"/>
                <w:szCs w:val="24"/>
              </w:rPr>
              <w:t xml:space="preserve">Appendix 1 </w:t>
            </w:r>
            <w:r w:rsidR="00170EF4">
              <w:rPr>
                <w:sz w:val="24"/>
                <w:szCs w:val="24"/>
              </w:rPr>
              <w:t xml:space="preserve">  </w:t>
            </w:r>
            <w:r w:rsidR="004711C8">
              <w:rPr>
                <w:sz w:val="24"/>
                <w:szCs w:val="24"/>
              </w:rPr>
              <w:t xml:space="preserve"> </w:t>
            </w:r>
            <w:r w:rsidR="00170EF4">
              <w:rPr>
                <w:sz w:val="24"/>
                <w:szCs w:val="24"/>
              </w:rPr>
              <w:t>-</w:t>
            </w:r>
            <w:r>
              <w:rPr>
                <w:sz w:val="24"/>
                <w:szCs w:val="24"/>
              </w:rPr>
              <w:t xml:space="preserve"> Call for Service</w:t>
            </w:r>
          </w:p>
        </w:tc>
        <w:tc>
          <w:tcPr>
            <w:tcW w:w="1366" w:type="dxa"/>
          </w:tcPr>
          <w:p w14:paraId="278D7423" w14:textId="429734D4" w:rsidR="00D508AA" w:rsidRDefault="00D508AA" w:rsidP="00D508AA">
            <w:pPr>
              <w:jc w:val="center"/>
              <w:rPr>
                <w:sz w:val="24"/>
                <w:szCs w:val="24"/>
              </w:rPr>
            </w:pPr>
            <w:r>
              <w:rPr>
                <w:sz w:val="24"/>
                <w:szCs w:val="24"/>
              </w:rPr>
              <w:t>2</w:t>
            </w:r>
            <w:r w:rsidR="00FA7302">
              <w:rPr>
                <w:sz w:val="24"/>
                <w:szCs w:val="24"/>
              </w:rPr>
              <w:t>2</w:t>
            </w:r>
          </w:p>
        </w:tc>
      </w:tr>
      <w:tr w:rsidR="00D508AA" w14:paraId="60D967F1" w14:textId="77777777" w:rsidTr="00CC3FA8">
        <w:tc>
          <w:tcPr>
            <w:tcW w:w="7650" w:type="dxa"/>
          </w:tcPr>
          <w:p w14:paraId="4DCD53DC" w14:textId="77777777" w:rsidR="00D508AA" w:rsidRDefault="00D508AA" w:rsidP="00D508AA">
            <w:pPr>
              <w:jc w:val="both"/>
              <w:rPr>
                <w:sz w:val="24"/>
                <w:szCs w:val="24"/>
              </w:rPr>
            </w:pPr>
          </w:p>
        </w:tc>
        <w:tc>
          <w:tcPr>
            <w:tcW w:w="1366" w:type="dxa"/>
          </w:tcPr>
          <w:p w14:paraId="5916F59D" w14:textId="77777777" w:rsidR="00D508AA" w:rsidRDefault="00D508AA" w:rsidP="00D508AA">
            <w:pPr>
              <w:jc w:val="center"/>
              <w:rPr>
                <w:sz w:val="24"/>
                <w:szCs w:val="24"/>
              </w:rPr>
            </w:pPr>
          </w:p>
        </w:tc>
      </w:tr>
      <w:tr w:rsidR="00D508AA" w14:paraId="79173CCC" w14:textId="77777777" w:rsidTr="00CC3FA8">
        <w:tc>
          <w:tcPr>
            <w:tcW w:w="7650" w:type="dxa"/>
          </w:tcPr>
          <w:p w14:paraId="45A88566" w14:textId="07933F37" w:rsidR="00D508AA" w:rsidRDefault="00D508AA" w:rsidP="00D508AA">
            <w:pPr>
              <w:jc w:val="both"/>
              <w:rPr>
                <w:sz w:val="24"/>
                <w:szCs w:val="24"/>
              </w:rPr>
            </w:pPr>
            <w:r>
              <w:rPr>
                <w:sz w:val="24"/>
                <w:szCs w:val="24"/>
              </w:rPr>
              <w:t xml:space="preserve">Appendix 1A </w:t>
            </w:r>
            <w:r w:rsidR="00E9434C">
              <w:rPr>
                <w:sz w:val="24"/>
                <w:szCs w:val="24"/>
              </w:rPr>
              <w:t xml:space="preserve">- </w:t>
            </w:r>
            <w:r>
              <w:rPr>
                <w:sz w:val="24"/>
                <w:szCs w:val="24"/>
              </w:rPr>
              <w:t xml:space="preserve">List of Documents to be submitted </w:t>
            </w:r>
          </w:p>
        </w:tc>
        <w:tc>
          <w:tcPr>
            <w:tcW w:w="1366" w:type="dxa"/>
          </w:tcPr>
          <w:p w14:paraId="6D127B76" w14:textId="1CB991AD" w:rsidR="00D508AA" w:rsidRDefault="00D508AA" w:rsidP="00D508AA">
            <w:pPr>
              <w:jc w:val="center"/>
              <w:rPr>
                <w:sz w:val="24"/>
                <w:szCs w:val="24"/>
              </w:rPr>
            </w:pPr>
            <w:r>
              <w:rPr>
                <w:sz w:val="24"/>
                <w:szCs w:val="24"/>
              </w:rPr>
              <w:t>2</w:t>
            </w:r>
            <w:r w:rsidR="00FA7302">
              <w:rPr>
                <w:sz w:val="24"/>
                <w:szCs w:val="24"/>
              </w:rPr>
              <w:t>3</w:t>
            </w:r>
          </w:p>
        </w:tc>
      </w:tr>
      <w:tr w:rsidR="00D508AA" w14:paraId="1EA521B1" w14:textId="77777777" w:rsidTr="00CC3FA8">
        <w:tc>
          <w:tcPr>
            <w:tcW w:w="7650" w:type="dxa"/>
          </w:tcPr>
          <w:p w14:paraId="3047E01F" w14:textId="77777777" w:rsidR="00D508AA" w:rsidRDefault="00D508AA" w:rsidP="00D508AA">
            <w:pPr>
              <w:jc w:val="both"/>
              <w:rPr>
                <w:sz w:val="24"/>
                <w:szCs w:val="24"/>
              </w:rPr>
            </w:pPr>
          </w:p>
        </w:tc>
        <w:tc>
          <w:tcPr>
            <w:tcW w:w="1366" w:type="dxa"/>
          </w:tcPr>
          <w:p w14:paraId="506DC82C" w14:textId="77777777" w:rsidR="00D508AA" w:rsidRDefault="00D508AA" w:rsidP="00D508AA">
            <w:pPr>
              <w:jc w:val="center"/>
              <w:rPr>
                <w:sz w:val="24"/>
                <w:szCs w:val="24"/>
              </w:rPr>
            </w:pPr>
          </w:p>
        </w:tc>
      </w:tr>
      <w:tr w:rsidR="00D508AA" w14:paraId="4D874285" w14:textId="77777777" w:rsidTr="00CC3FA8">
        <w:tc>
          <w:tcPr>
            <w:tcW w:w="7650" w:type="dxa"/>
          </w:tcPr>
          <w:p w14:paraId="72C97A02" w14:textId="48FDFAD5" w:rsidR="00D508AA" w:rsidRDefault="00D508AA" w:rsidP="00D508AA">
            <w:pPr>
              <w:jc w:val="both"/>
              <w:rPr>
                <w:sz w:val="24"/>
                <w:szCs w:val="24"/>
              </w:rPr>
            </w:pPr>
            <w:r>
              <w:rPr>
                <w:sz w:val="24"/>
                <w:szCs w:val="24"/>
              </w:rPr>
              <w:t xml:space="preserve">Appendix 1B </w:t>
            </w:r>
            <w:r w:rsidR="00E9434C">
              <w:rPr>
                <w:sz w:val="24"/>
                <w:szCs w:val="24"/>
              </w:rPr>
              <w:t>-</w:t>
            </w:r>
            <w:r>
              <w:rPr>
                <w:sz w:val="24"/>
                <w:szCs w:val="24"/>
              </w:rPr>
              <w:t xml:space="preserve"> Declaration of Absence of Conflict of Interest</w:t>
            </w:r>
          </w:p>
        </w:tc>
        <w:tc>
          <w:tcPr>
            <w:tcW w:w="1366" w:type="dxa"/>
          </w:tcPr>
          <w:p w14:paraId="365A9EB4" w14:textId="4478D710" w:rsidR="00D508AA" w:rsidRDefault="00D508AA" w:rsidP="00D508AA">
            <w:pPr>
              <w:jc w:val="center"/>
              <w:rPr>
                <w:sz w:val="24"/>
                <w:szCs w:val="24"/>
              </w:rPr>
            </w:pPr>
            <w:r>
              <w:rPr>
                <w:sz w:val="24"/>
                <w:szCs w:val="24"/>
              </w:rPr>
              <w:t>2</w:t>
            </w:r>
            <w:r w:rsidR="00C72F6E">
              <w:rPr>
                <w:sz w:val="24"/>
                <w:szCs w:val="24"/>
              </w:rPr>
              <w:t>8</w:t>
            </w:r>
          </w:p>
        </w:tc>
      </w:tr>
      <w:tr w:rsidR="00D508AA" w14:paraId="622AF2DA" w14:textId="77777777" w:rsidTr="00CC3FA8">
        <w:tc>
          <w:tcPr>
            <w:tcW w:w="7650" w:type="dxa"/>
          </w:tcPr>
          <w:p w14:paraId="15D85E18" w14:textId="77777777" w:rsidR="00D508AA" w:rsidRDefault="00D508AA" w:rsidP="00D508AA">
            <w:pPr>
              <w:jc w:val="both"/>
              <w:rPr>
                <w:sz w:val="24"/>
                <w:szCs w:val="24"/>
              </w:rPr>
            </w:pPr>
          </w:p>
        </w:tc>
        <w:tc>
          <w:tcPr>
            <w:tcW w:w="1366" w:type="dxa"/>
          </w:tcPr>
          <w:p w14:paraId="289E763E" w14:textId="77777777" w:rsidR="00D508AA" w:rsidRDefault="00D508AA" w:rsidP="00D508AA">
            <w:pPr>
              <w:jc w:val="center"/>
              <w:rPr>
                <w:sz w:val="24"/>
                <w:szCs w:val="24"/>
              </w:rPr>
            </w:pPr>
          </w:p>
        </w:tc>
      </w:tr>
      <w:tr w:rsidR="00D508AA" w14:paraId="026F5779" w14:textId="77777777" w:rsidTr="00CC3FA8">
        <w:tc>
          <w:tcPr>
            <w:tcW w:w="7650" w:type="dxa"/>
          </w:tcPr>
          <w:p w14:paraId="7ECF1571" w14:textId="78E5163E" w:rsidR="00D508AA" w:rsidRDefault="00D508AA" w:rsidP="00D508AA">
            <w:pPr>
              <w:jc w:val="both"/>
              <w:rPr>
                <w:sz w:val="24"/>
                <w:szCs w:val="24"/>
              </w:rPr>
            </w:pPr>
            <w:r>
              <w:rPr>
                <w:sz w:val="24"/>
                <w:szCs w:val="24"/>
              </w:rPr>
              <w:t xml:space="preserve">Appendix 1C </w:t>
            </w:r>
            <w:r w:rsidR="00E9434C">
              <w:rPr>
                <w:sz w:val="24"/>
                <w:szCs w:val="24"/>
              </w:rPr>
              <w:t>-</w:t>
            </w:r>
            <w:r>
              <w:rPr>
                <w:sz w:val="24"/>
                <w:szCs w:val="24"/>
              </w:rPr>
              <w:t xml:space="preserve"> Statement regarding situations of exclusion – 1</w:t>
            </w:r>
          </w:p>
        </w:tc>
        <w:tc>
          <w:tcPr>
            <w:tcW w:w="1366" w:type="dxa"/>
          </w:tcPr>
          <w:p w14:paraId="6976823D" w14:textId="1349E580" w:rsidR="00D508AA" w:rsidRDefault="00D508AA" w:rsidP="00D508AA">
            <w:pPr>
              <w:jc w:val="center"/>
              <w:rPr>
                <w:sz w:val="24"/>
                <w:szCs w:val="24"/>
              </w:rPr>
            </w:pPr>
            <w:r>
              <w:rPr>
                <w:sz w:val="24"/>
                <w:szCs w:val="24"/>
              </w:rPr>
              <w:t>2</w:t>
            </w:r>
            <w:r w:rsidR="00C72F6E">
              <w:rPr>
                <w:sz w:val="24"/>
                <w:szCs w:val="24"/>
              </w:rPr>
              <w:t>9</w:t>
            </w:r>
          </w:p>
        </w:tc>
      </w:tr>
      <w:tr w:rsidR="00D508AA" w14:paraId="7F75474C" w14:textId="77777777" w:rsidTr="00CC3FA8">
        <w:tc>
          <w:tcPr>
            <w:tcW w:w="7650" w:type="dxa"/>
          </w:tcPr>
          <w:p w14:paraId="3BE5CC39" w14:textId="77777777" w:rsidR="00D508AA" w:rsidRDefault="00D508AA" w:rsidP="00D508AA">
            <w:pPr>
              <w:jc w:val="both"/>
              <w:rPr>
                <w:sz w:val="24"/>
                <w:szCs w:val="24"/>
              </w:rPr>
            </w:pPr>
          </w:p>
        </w:tc>
        <w:tc>
          <w:tcPr>
            <w:tcW w:w="1366" w:type="dxa"/>
          </w:tcPr>
          <w:p w14:paraId="79D87108" w14:textId="77777777" w:rsidR="00D508AA" w:rsidRDefault="00D508AA" w:rsidP="00D508AA">
            <w:pPr>
              <w:jc w:val="center"/>
              <w:rPr>
                <w:sz w:val="24"/>
                <w:szCs w:val="24"/>
              </w:rPr>
            </w:pPr>
          </w:p>
        </w:tc>
      </w:tr>
      <w:tr w:rsidR="00D508AA" w14:paraId="574B1D84" w14:textId="77777777" w:rsidTr="00CC3FA8">
        <w:tc>
          <w:tcPr>
            <w:tcW w:w="7650" w:type="dxa"/>
          </w:tcPr>
          <w:p w14:paraId="3F88B960" w14:textId="60B5B203" w:rsidR="00D508AA" w:rsidRDefault="00D508AA" w:rsidP="00D508AA">
            <w:pPr>
              <w:jc w:val="both"/>
              <w:rPr>
                <w:sz w:val="24"/>
                <w:szCs w:val="24"/>
              </w:rPr>
            </w:pPr>
            <w:r>
              <w:rPr>
                <w:sz w:val="24"/>
                <w:szCs w:val="24"/>
              </w:rPr>
              <w:t xml:space="preserve">Appendix 1D - </w:t>
            </w:r>
            <w:r w:rsidRPr="00D508AA">
              <w:rPr>
                <w:sz w:val="24"/>
                <w:szCs w:val="24"/>
              </w:rPr>
              <w:t xml:space="preserve">Statement regarding situations of exclusion – </w:t>
            </w:r>
            <w:r>
              <w:rPr>
                <w:sz w:val="24"/>
                <w:szCs w:val="24"/>
              </w:rPr>
              <w:t>2</w:t>
            </w:r>
          </w:p>
        </w:tc>
        <w:tc>
          <w:tcPr>
            <w:tcW w:w="1366" w:type="dxa"/>
          </w:tcPr>
          <w:p w14:paraId="7B3C6712" w14:textId="4267AE48" w:rsidR="00D508AA" w:rsidRDefault="00D508AA" w:rsidP="00D508AA">
            <w:pPr>
              <w:jc w:val="center"/>
              <w:rPr>
                <w:sz w:val="24"/>
                <w:szCs w:val="24"/>
              </w:rPr>
            </w:pPr>
            <w:r>
              <w:rPr>
                <w:sz w:val="24"/>
                <w:szCs w:val="24"/>
              </w:rPr>
              <w:t>3</w:t>
            </w:r>
            <w:r w:rsidR="00C72F6E">
              <w:rPr>
                <w:sz w:val="24"/>
                <w:szCs w:val="24"/>
              </w:rPr>
              <w:t>1</w:t>
            </w:r>
          </w:p>
        </w:tc>
      </w:tr>
    </w:tbl>
    <w:p w14:paraId="550F1BD1" w14:textId="6C64234E" w:rsidR="004579DF" w:rsidRDefault="00CC3FA8" w:rsidP="005A6354">
      <w:pPr>
        <w:spacing w:after="120"/>
        <w:jc w:val="both"/>
        <w:rPr>
          <w:b/>
          <w:sz w:val="24"/>
          <w:szCs w:val="24"/>
        </w:rPr>
      </w:pPr>
      <w:r>
        <w:rPr>
          <w:b/>
          <w:sz w:val="24"/>
          <w:szCs w:val="24"/>
        </w:rPr>
        <w:tab/>
      </w:r>
      <w:r w:rsidR="004579DF">
        <w:rPr>
          <w:b/>
          <w:sz w:val="24"/>
          <w:szCs w:val="24"/>
        </w:rPr>
        <w:br w:type="page"/>
      </w:r>
    </w:p>
    <w:p w14:paraId="6D188A2F" w14:textId="70D9228B" w:rsidR="00DF0EFF" w:rsidRPr="004F65B1" w:rsidRDefault="003B38BE" w:rsidP="004F65B1">
      <w:pPr>
        <w:spacing w:after="120"/>
        <w:jc w:val="both"/>
        <w:rPr>
          <w:b/>
          <w:sz w:val="24"/>
          <w:szCs w:val="24"/>
        </w:rPr>
      </w:pPr>
      <w:r w:rsidRPr="004F65B1">
        <w:rPr>
          <w:b/>
          <w:sz w:val="24"/>
          <w:szCs w:val="24"/>
        </w:rPr>
        <w:lastRenderedPageBreak/>
        <w:t xml:space="preserve">Call for </w:t>
      </w:r>
      <w:r w:rsidR="00176D7C" w:rsidRPr="004F65B1">
        <w:rPr>
          <w:b/>
          <w:sz w:val="24"/>
          <w:szCs w:val="24"/>
        </w:rPr>
        <w:t>Service</w:t>
      </w:r>
      <w:r w:rsidRPr="004F65B1">
        <w:rPr>
          <w:b/>
          <w:sz w:val="24"/>
          <w:szCs w:val="24"/>
        </w:rPr>
        <w:t xml:space="preserve"> number </w:t>
      </w:r>
      <w:r w:rsidR="00C36002" w:rsidRPr="004F65B1">
        <w:rPr>
          <w:b/>
          <w:sz w:val="24"/>
          <w:szCs w:val="24"/>
        </w:rPr>
        <w:t xml:space="preserve">MDB/001/2019 </w:t>
      </w:r>
      <w:r w:rsidR="00DF0EFF" w:rsidRPr="004F65B1">
        <w:rPr>
          <w:b/>
          <w:sz w:val="24"/>
          <w:szCs w:val="24"/>
        </w:rPr>
        <w:t>for the implementation of the Financial Instrument:</w:t>
      </w:r>
    </w:p>
    <w:p w14:paraId="141B259F" w14:textId="06C9EDC3" w:rsidR="003B38BE" w:rsidRPr="004F65B1" w:rsidRDefault="00DF0EFF" w:rsidP="004F65B1">
      <w:pPr>
        <w:spacing w:after="120"/>
        <w:jc w:val="center"/>
        <w:rPr>
          <w:b/>
          <w:sz w:val="28"/>
          <w:szCs w:val="24"/>
        </w:rPr>
      </w:pPr>
      <w:r w:rsidRPr="004F65B1">
        <w:rPr>
          <w:b/>
          <w:sz w:val="28"/>
          <w:szCs w:val="24"/>
        </w:rPr>
        <w:t>Further Studies Made Affordable (FSMA)</w:t>
      </w:r>
    </w:p>
    <w:p w14:paraId="707F01C0" w14:textId="77777777" w:rsidR="003B38BE" w:rsidRPr="006D767A" w:rsidRDefault="003B38BE" w:rsidP="00100511">
      <w:pPr>
        <w:jc w:val="both"/>
      </w:pPr>
    </w:p>
    <w:p w14:paraId="31C99DE0" w14:textId="0DB316B4" w:rsidR="00FD38A4" w:rsidRPr="00FD38A4" w:rsidRDefault="00FD38A4">
      <w:pPr>
        <w:jc w:val="both"/>
        <w:rPr>
          <w:b/>
        </w:rPr>
      </w:pPr>
      <w:r>
        <w:rPr>
          <w:b/>
        </w:rPr>
        <w:t>Objec</w:t>
      </w:r>
      <w:r w:rsidR="000A74FA">
        <w:rPr>
          <w:b/>
        </w:rPr>
        <w:t>tive</w:t>
      </w:r>
    </w:p>
    <w:p w14:paraId="70994434" w14:textId="77777777" w:rsidR="00FD38A4" w:rsidRDefault="00FD38A4">
      <w:pPr>
        <w:jc w:val="both"/>
      </w:pPr>
    </w:p>
    <w:p w14:paraId="6E632A05" w14:textId="31A9FC81" w:rsidR="001B40A5" w:rsidRDefault="00313A09">
      <w:pPr>
        <w:jc w:val="both"/>
      </w:pPr>
      <w:r>
        <w:t xml:space="preserve">The objective of this </w:t>
      </w:r>
      <w:r w:rsidR="00647C9A" w:rsidRPr="006D767A">
        <w:t xml:space="preserve">Call for </w:t>
      </w:r>
      <w:r w:rsidR="00C36002">
        <w:t>Service</w:t>
      </w:r>
      <w:r w:rsidR="00647C9A" w:rsidRPr="006D767A">
        <w:t xml:space="preserve"> </w:t>
      </w:r>
      <w:r w:rsidR="003A4ED1">
        <w:t>(the “</w:t>
      </w:r>
      <w:r w:rsidR="003A4ED1" w:rsidRPr="003433D4">
        <w:rPr>
          <w:b/>
        </w:rPr>
        <w:t>Call</w:t>
      </w:r>
      <w:r w:rsidR="003A4ED1">
        <w:t xml:space="preserve">”) </w:t>
      </w:r>
      <w:r>
        <w:t xml:space="preserve">is </w:t>
      </w:r>
      <w:r w:rsidR="00647C9A" w:rsidRPr="006D767A">
        <w:t xml:space="preserve">to select </w:t>
      </w:r>
      <w:r w:rsidR="003A4ED1">
        <w:t>one</w:t>
      </w:r>
      <w:r w:rsidR="00964E67">
        <w:t xml:space="preserve"> or more</w:t>
      </w:r>
      <w:r w:rsidR="003A4ED1">
        <w:t xml:space="preserve"> eligible </w:t>
      </w:r>
      <w:r w:rsidR="00647C9A" w:rsidRPr="006D767A">
        <w:t xml:space="preserve">Financial </w:t>
      </w:r>
      <w:r w:rsidR="008015E9" w:rsidRPr="006D767A">
        <w:t>Institution</w:t>
      </w:r>
      <w:r w:rsidR="00A61539">
        <w:t>/s</w:t>
      </w:r>
      <w:r w:rsidR="4E06B98B" w:rsidRPr="006D767A">
        <w:t xml:space="preserve"> licensed to operate under the Banking Act, Chapter 371 of the Laws of Malta</w:t>
      </w:r>
      <w:r w:rsidR="003A4ED1" w:rsidRPr="50523CAD">
        <w:t xml:space="preserve"> </w:t>
      </w:r>
      <w:r w:rsidR="00A9730F">
        <w:t xml:space="preserve">for the implementation </w:t>
      </w:r>
      <w:r w:rsidR="003E7A77" w:rsidRPr="006D767A">
        <w:t xml:space="preserve">of the </w:t>
      </w:r>
      <w:r w:rsidR="00A9730F">
        <w:t>Further Studies Made Affordable</w:t>
      </w:r>
      <w:r w:rsidR="00647C9A" w:rsidRPr="006D767A">
        <w:t xml:space="preserve"> (“</w:t>
      </w:r>
      <w:r w:rsidR="00647C9A" w:rsidRPr="003433D4">
        <w:rPr>
          <w:b/>
        </w:rPr>
        <w:t>FSMA</w:t>
      </w:r>
      <w:r w:rsidR="00647C9A" w:rsidRPr="006D767A">
        <w:t>”</w:t>
      </w:r>
      <w:r w:rsidR="00A9730F" w:rsidRPr="50523CAD">
        <w:t xml:space="preserve">) </w:t>
      </w:r>
      <w:r w:rsidR="00412C60">
        <w:t>Financial Instrument (“</w:t>
      </w:r>
      <w:r w:rsidR="00412C60" w:rsidRPr="003433D4">
        <w:rPr>
          <w:b/>
        </w:rPr>
        <w:t>FI</w:t>
      </w:r>
      <w:r w:rsidR="00412C60">
        <w:t>”). This F</w:t>
      </w:r>
      <w:r w:rsidR="4B4D50D6">
        <w:t>I</w:t>
      </w:r>
      <w:r w:rsidR="00412C60" w:rsidRPr="50523CAD">
        <w:t xml:space="preserve"> </w:t>
      </w:r>
      <w:r w:rsidR="00412C60">
        <w:t xml:space="preserve">is designed to improve access to finance for </w:t>
      </w:r>
      <w:r w:rsidR="00A9730F">
        <w:t>E</w:t>
      </w:r>
      <w:r w:rsidR="00412C60">
        <w:t xml:space="preserve">ligible </w:t>
      </w:r>
      <w:r w:rsidR="00A9730F">
        <w:t>S</w:t>
      </w:r>
      <w:r w:rsidR="4B4D50D6">
        <w:t>tudents</w:t>
      </w:r>
      <w:r w:rsidR="00F64973">
        <w:t>. The</w:t>
      </w:r>
      <w:r w:rsidR="00631D14" w:rsidRPr="50523CAD">
        <w:t xml:space="preserve"> </w:t>
      </w:r>
      <w:r w:rsidR="001B40A5">
        <w:t>F</w:t>
      </w:r>
      <w:r w:rsidR="50523CAD">
        <w:t>i</w:t>
      </w:r>
      <w:r w:rsidR="4B4D50D6">
        <w:t>n</w:t>
      </w:r>
      <w:r w:rsidR="50523CAD">
        <w:t>ancia</w:t>
      </w:r>
      <w:r w:rsidR="6FC7F5B8">
        <w:t>l Institution</w:t>
      </w:r>
      <w:r w:rsidR="001B40A5">
        <w:t>/s</w:t>
      </w:r>
      <w:r w:rsidR="001B40A5" w:rsidRPr="006D767A">
        <w:t xml:space="preserve"> shall benefit from capital relief and loss protection via the provision of a capped guarantee on a portfolio of loans. The Portfolio shall be managed by the </w:t>
      </w:r>
      <w:r w:rsidR="001B40A5">
        <w:t>Financial Institution</w:t>
      </w:r>
      <w:r w:rsidR="00912D5A">
        <w:t>/s</w:t>
      </w:r>
      <w:r w:rsidR="0A4590D6">
        <w:t xml:space="preserve"> selected through this Call.</w:t>
      </w:r>
    </w:p>
    <w:p w14:paraId="2A5ADBDD" w14:textId="7AB17284" w:rsidR="001B40A5" w:rsidRDefault="001B40A5" w:rsidP="001B40A5">
      <w:pPr>
        <w:jc w:val="both"/>
      </w:pPr>
    </w:p>
    <w:p w14:paraId="37368524" w14:textId="47D76520" w:rsidR="001B40A5" w:rsidRDefault="001B40A5" w:rsidP="001B40A5">
      <w:pPr>
        <w:jc w:val="both"/>
      </w:pPr>
      <w:r>
        <w:t>The FI is financed under the Operational Programme II (“</w:t>
      </w:r>
      <w:r w:rsidRPr="003433D4">
        <w:rPr>
          <w:b/>
        </w:rPr>
        <w:t>OPII</w:t>
      </w:r>
      <w:r w:rsidRPr="003433D4">
        <w:t>”</w:t>
      </w:r>
      <w:r>
        <w:t>) co-funded by the European Social Fund (“</w:t>
      </w:r>
      <w:r>
        <w:rPr>
          <w:b/>
        </w:rPr>
        <w:t>ESF</w:t>
      </w:r>
      <w:r>
        <w:t>”) Programme 2014-2020.</w:t>
      </w:r>
    </w:p>
    <w:p w14:paraId="419E9756" w14:textId="77777777" w:rsidR="001B40A5" w:rsidRDefault="001B40A5" w:rsidP="001B40A5">
      <w:pPr>
        <w:jc w:val="both"/>
      </w:pPr>
    </w:p>
    <w:p w14:paraId="7C208F3C" w14:textId="15CC54F4" w:rsidR="001B40A5" w:rsidRDefault="001B40A5" w:rsidP="001B40A5">
      <w:pPr>
        <w:jc w:val="both"/>
      </w:pPr>
      <w:r>
        <w:t>The implementation of the FI has been entrusted to the Malta Development Bank (“</w:t>
      </w:r>
      <w:r>
        <w:rPr>
          <w:b/>
        </w:rPr>
        <w:t>MDB</w:t>
      </w:r>
      <w:r>
        <w:t>”) through the Funding Agreement between the Managing Authority (“</w:t>
      </w:r>
      <w:r>
        <w:rPr>
          <w:b/>
        </w:rPr>
        <w:t>MA</w:t>
      </w:r>
      <w:r>
        <w:t>”) of the OPII, being the Planning and Priorities Co-ordination Division within the Ministry for European Affairs and Equali</w:t>
      </w:r>
      <w:r w:rsidR="004829F3">
        <w:t>ty</w:t>
      </w:r>
      <w:r w:rsidR="00471519">
        <w:t xml:space="preserve"> and MDB.</w:t>
      </w:r>
    </w:p>
    <w:p w14:paraId="04832BDE" w14:textId="77777777" w:rsidR="001B40A5" w:rsidRDefault="001B40A5" w:rsidP="001B40A5">
      <w:pPr>
        <w:jc w:val="both"/>
      </w:pPr>
    </w:p>
    <w:p w14:paraId="65B229CD" w14:textId="77777777" w:rsidR="004D785B" w:rsidRPr="006D767A" w:rsidRDefault="004D785B" w:rsidP="00100511">
      <w:pPr>
        <w:jc w:val="both"/>
        <w:rPr>
          <w:b/>
        </w:rPr>
      </w:pPr>
      <w:r w:rsidRPr="006D767A">
        <w:rPr>
          <w:b/>
        </w:rPr>
        <w:t>Introduction</w:t>
      </w:r>
    </w:p>
    <w:p w14:paraId="7EFA797B" w14:textId="77777777" w:rsidR="004D785B" w:rsidRPr="006D767A" w:rsidRDefault="004D785B" w:rsidP="00100511">
      <w:pPr>
        <w:jc w:val="both"/>
      </w:pPr>
    </w:p>
    <w:p w14:paraId="6A1365FB" w14:textId="3D331D01" w:rsidR="004D785B" w:rsidRPr="006D767A" w:rsidRDefault="004D785B" w:rsidP="00100511">
      <w:pPr>
        <w:jc w:val="both"/>
      </w:pPr>
      <w:r w:rsidRPr="006D767A">
        <w:t>The European Union</w:t>
      </w:r>
      <w:r w:rsidR="00961F0B">
        <w:t xml:space="preserve"> (</w:t>
      </w:r>
      <w:r w:rsidR="003433D4" w:rsidRPr="003433D4">
        <w:rPr>
          <w:b/>
        </w:rPr>
        <w:t>“</w:t>
      </w:r>
      <w:r w:rsidR="00961F0B" w:rsidRPr="003433D4">
        <w:rPr>
          <w:b/>
        </w:rPr>
        <w:t>EU</w:t>
      </w:r>
      <w:r w:rsidR="003433D4" w:rsidRPr="003433D4">
        <w:rPr>
          <w:b/>
        </w:rPr>
        <w:t>”</w:t>
      </w:r>
      <w:r w:rsidR="00961F0B">
        <w:t>)</w:t>
      </w:r>
      <w:r w:rsidRPr="006D767A">
        <w:t xml:space="preserve"> is committed to creating more and better jobs and a social inclusive society. These goals are at the core of Europe2020 strategy for generating smart, sustainable and inclusive growth in the EU. </w:t>
      </w:r>
      <w:r w:rsidR="00A539A0">
        <w:t xml:space="preserve">The </w:t>
      </w:r>
      <w:r w:rsidRPr="006D767A">
        <w:t xml:space="preserve">ESF is playing an important role in meeting Europe’s goals </w:t>
      </w:r>
      <w:r w:rsidR="00D362E4">
        <w:t xml:space="preserve">in this regard </w:t>
      </w:r>
      <w:r w:rsidRPr="006D767A">
        <w:t xml:space="preserve">by providing the financial support required, reducing the gap, </w:t>
      </w:r>
      <w:r w:rsidR="00D362E4">
        <w:t xml:space="preserve">and </w:t>
      </w:r>
      <w:r w:rsidRPr="006D767A">
        <w:t>enabling more people in continuing their studies.</w:t>
      </w:r>
    </w:p>
    <w:p w14:paraId="053C4998" w14:textId="77777777" w:rsidR="004D785B" w:rsidRPr="006D767A" w:rsidRDefault="004D785B" w:rsidP="00100511">
      <w:pPr>
        <w:jc w:val="both"/>
      </w:pPr>
    </w:p>
    <w:p w14:paraId="74E005E9" w14:textId="17CB7393" w:rsidR="004D785B" w:rsidRPr="006D767A" w:rsidRDefault="004D785B" w:rsidP="00100511">
      <w:pPr>
        <w:jc w:val="both"/>
      </w:pPr>
      <w:r w:rsidRPr="006D767A">
        <w:t>Malta is investing to improv</w:t>
      </w:r>
      <w:r w:rsidR="00D362E4">
        <w:t>e</w:t>
      </w:r>
      <w:r w:rsidRPr="006D767A">
        <w:t xml:space="preserve"> and better match education and training systems and workforce skills to meet the changing demands of </w:t>
      </w:r>
      <w:r w:rsidR="00D362E4">
        <w:t xml:space="preserve">the </w:t>
      </w:r>
      <w:r w:rsidRPr="006D767A">
        <w:t xml:space="preserve">labour market. ESF role in the matter is to provide support, helping people (the </w:t>
      </w:r>
      <w:r w:rsidRPr="003433D4">
        <w:t>“</w:t>
      </w:r>
      <w:r w:rsidR="00313A09">
        <w:rPr>
          <w:b/>
        </w:rPr>
        <w:t xml:space="preserve">Eligible </w:t>
      </w:r>
      <w:r w:rsidR="00A77CD0">
        <w:rPr>
          <w:b/>
        </w:rPr>
        <w:t>S</w:t>
      </w:r>
      <w:r w:rsidRPr="006D767A">
        <w:rPr>
          <w:b/>
        </w:rPr>
        <w:t>tudent</w:t>
      </w:r>
      <w:r w:rsidR="003433D4">
        <w:rPr>
          <w:b/>
        </w:rPr>
        <w:t>s</w:t>
      </w:r>
      <w:r w:rsidRPr="003433D4">
        <w:t>”</w:t>
      </w:r>
      <w:r w:rsidRPr="006D767A">
        <w:t xml:space="preserve">) </w:t>
      </w:r>
      <w:r w:rsidR="00D362E4">
        <w:t xml:space="preserve">to upgrade their academic endowments </w:t>
      </w:r>
      <w:proofErr w:type="gramStart"/>
      <w:r w:rsidR="00D362E4">
        <w:t>in order to</w:t>
      </w:r>
      <w:proofErr w:type="gramEnd"/>
      <w:r w:rsidR="00D362E4">
        <w:t xml:space="preserve"> </w:t>
      </w:r>
      <w:r w:rsidRPr="006D767A">
        <w:t>get better jobs and ensur</w:t>
      </w:r>
      <w:r w:rsidR="00D362E4">
        <w:t>e</w:t>
      </w:r>
      <w:r w:rsidRPr="006D767A">
        <w:t xml:space="preserve"> fairer living standards and job opportunities for all EU citizens.</w:t>
      </w:r>
    </w:p>
    <w:p w14:paraId="514FB69A" w14:textId="77777777" w:rsidR="004D785B" w:rsidRPr="006D767A" w:rsidRDefault="004D785B" w:rsidP="00100511">
      <w:pPr>
        <w:jc w:val="both"/>
      </w:pPr>
    </w:p>
    <w:p w14:paraId="7A1D0EA1" w14:textId="24E2F990" w:rsidR="004D785B" w:rsidRPr="006D767A" w:rsidRDefault="004D785B" w:rsidP="00100511">
      <w:pPr>
        <w:jc w:val="both"/>
      </w:pPr>
      <w:r w:rsidRPr="006D767A">
        <w:t xml:space="preserve">Investing in human capital is a top priority for Malta, with focus on helping people to enter and remain </w:t>
      </w:r>
      <w:r w:rsidR="00D362E4">
        <w:t xml:space="preserve">successfully </w:t>
      </w:r>
      <w:r w:rsidRPr="006D767A">
        <w:t>in the labour market and to improve their skills.</w:t>
      </w:r>
    </w:p>
    <w:p w14:paraId="47C72AC7" w14:textId="77777777" w:rsidR="004D785B" w:rsidRPr="006D767A" w:rsidRDefault="004D785B" w:rsidP="00100511">
      <w:pPr>
        <w:jc w:val="both"/>
      </w:pPr>
    </w:p>
    <w:p w14:paraId="3EC0EA89" w14:textId="77777777" w:rsidR="004D785B" w:rsidRPr="006D767A" w:rsidRDefault="004D785B" w:rsidP="00100511">
      <w:pPr>
        <w:jc w:val="both"/>
      </w:pPr>
      <w:r w:rsidRPr="006D767A">
        <w:t xml:space="preserve">Malta is taking measures to improve its education and training systems </w:t>
      </w:r>
      <w:proofErr w:type="gramStart"/>
      <w:r w:rsidRPr="006D767A">
        <w:t>in order to</w:t>
      </w:r>
      <w:proofErr w:type="gramEnd"/>
      <w:r w:rsidRPr="006D767A">
        <w:t xml:space="preserve"> better equip jobseekers to meet changing market needs. There is a specific focus on providing a better standard of higher education.</w:t>
      </w:r>
    </w:p>
    <w:p w14:paraId="09F2663C" w14:textId="77777777" w:rsidR="004D785B" w:rsidRPr="006D767A" w:rsidRDefault="004D785B" w:rsidP="00100511">
      <w:pPr>
        <w:jc w:val="both"/>
      </w:pPr>
    </w:p>
    <w:p w14:paraId="3348C4D2" w14:textId="58A0982E" w:rsidR="009463DF" w:rsidRPr="006D767A" w:rsidRDefault="00C13FF0" w:rsidP="00100511">
      <w:pPr>
        <w:jc w:val="both"/>
      </w:pPr>
      <w:r w:rsidRPr="006D767A">
        <w:t xml:space="preserve">The </w:t>
      </w:r>
      <w:r w:rsidR="00D362E4">
        <w:t xml:space="preserve">FI shall </w:t>
      </w:r>
      <w:r w:rsidRPr="006D767A">
        <w:t xml:space="preserve">support the development of human capital and is </w:t>
      </w:r>
      <w:r w:rsidR="00D362E4">
        <w:t>aimed to meet the needs of</w:t>
      </w:r>
      <w:r w:rsidR="0024580E">
        <w:t xml:space="preserve"> </w:t>
      </w:r>
      <w:r w:rsidRPr="001C44F5">
        <w:t>Eligible Student</w:t>
      </w:r>
      <w:r w:rsidR="00D362E4" w:rsidRPr="001C44F5">
        <w:t>s</w:t>
      </w:r>
      <w:r w:rsidRPr="001C44F5">
        <w:t xml:space="preserve"> interested in pursuing a study programme for </w:t>
      </w:r>
      <w:r w:rsidR="00A61539">
        <w:t xml:space="preserve">accredited courses in </w:t>
      </w:r>
      <w:r w:rsidR="003433D4">
        <w:t>Malta Qualifications Framework (“</w:t>
      </w:r>
      <w:r w:rsidR="00A61539" w:rsidRPr="003433D4">
        <w:rPr>
          <w:b/>
        </w:rPr>
        <w:t>MQF</w:t>
      </w:r>
      <w:r w:rsidR="003433D4">
        <w:t>”)</w:t>
      </w:r>
      <w:r w:rsidR="00A61539">
        <w:t xml:space="preserve"> levels</w:t>
      </w:r>
      <w:r w:rsidR="00010E93">
        <w:t xml:space="preserve"> 5,</w:t>
      </w:r>
      <w:r w:rsidR="00A61539">
        <w:t xml:space="preserve"> 6,7 and 8</w:t>
      </w:r>
      <w:r w:rsidR="00010E93">
        <w:t>,</w:t>
      </w:r>
      <w:r w:rsidR="00A61539">
        <w:t xml:space="preserve"> as well as internationally-recognised </w:t>
      </w:r>
      <w:r w:rsidR="00010E93">
        <w:t>certificates</w:t>
      </w:r>
      <w:r w:rsidR="00A61539">
        <w:t>.</w:t>
      </w:r>
      <w:r w:rsidR="00976E5F">
        <w:t xml:space="preserve"> Such </w:t>
      </w:r>
      <w:r w:rsidR="00412C60">
        <w:t>E</w:t>
      </w:r>
      <w:r w:rsidR="00976E5F">
        <w:t xml:space="preserve">ligible </w:t>
      </w:r>
      <w:r w:rsidR="00412C60">
        <w:t>S</w:t>
      </w:r>
      <w:r w:rsidR="00976E5F">
        <w:t>tudents will be entitled to</w:t>
      </w:r>
      <w:r w:rsidRPr="006D767A">
        <w:t xml:space="preserve"> receiv</w:t>
      </w:r>
      <w:r w:rsidR="00976E5F">
        <w:t>e support through this FI</w:t>
      </w:r>
      <w:r w:rsidRPr="006D767A">
        <w:t xml:space="preserve"> </w:t>
      </w:r>
      <w:r w:rsidR="009463DF" w:rsidRPr="006D767A">
        <w:t xml:space="preserve">to </w:t>
      </w:r>
      <w:r w:rsidR="00AA0835">
        <w:t xml:space="preserve">cover </w:t>
      </w:r>
      <w:r w:rsidR="009463DF" w:rsidRPr="006D767A">
        <w:t xml:space="preserve">academic fees and related </w:t>
      </w:r>
      <w:r w:rsidR="00AA0835">
        <w:t xml:space="preserve">study </w:t>
      </w:r>
      <w:r w:rsidR="009463DF" w:rsidRPr="006D767A">
        <w:t>expenses as well as subsistence expenses</w:t>
      </w:r>
      <w:r w:rsidR="008015E9" w:rsidRPr="006D767A">
        <w:t xml:space="preserve"> to further their studies </w:t>
      </w:r>
      <w:r w:rsidR="00976E5F">
        <w:t xml:space="preserve">in Malta and </w:t>
      </w:r>
      <w:r w:rsidR="00A275EA" w:rsidRPr="006D767A">
        <w:t>abroad.</w:t>
      </w:r>
    </w:p>
    <w:p w14:paraId="09B36889" w14:textId="77777777" w:rsidR="009463DF" w:rsidRPr="006D767A" w:rsidRDefault="009463DF" w:rsidP="00100511">
      <w:pPr>
        <w:jc w:val="both"/>
      </w:pPr>
    </w:p>
    <w:p w14:paraId="42BE04BE" w14:textId="3D82E4D3" w:rsidR="00C13FF0" w:rsidRPr="006D767A" w:rsidRDefault="00976E5F" w:rsidP="00100511">
      <w:pPr>
        <w:jc w:val="both"/>
      </w:pPr>
      <w:r>
        <w:t xml:space="preserve">The selected </w:t>
      </w:r>
      <w:r w:rsidR="001F55BD">
        <w:t>F</w:t>
      </w:r>
      <w:r w:rsidR="66A7F81D">
        <w:t>inancial Institution</w:t>
      </w:r>
      <w:r w:rsidR="001F55BD">
        <w:t>/s</w:t>
      </w:r>
      <w:r w:rsidR="00F40E43" w:rsidRPr="66A7F81D">
        <w:t xml:space="preserve"> </w:t>
      </w:r>
      <w:r>
        <w:t xml:space="preserve">will be expected to </w:t>
      </w:r>
      <w:r w:rsidR="0094246D">
        <w:t xml:space="preserve">promote and </w:t>
      </w:r>
      <w:r w:rsidR="009463DF" w:rsidRPr="006D767A">
        <w:t xml:space="preserve">provide the activities </w:t>
      </w:r>
      <w:r w:rsidR="0094246D">
        <w:t>related to</w:t>
      </w:r>
      <w:r w:rsidR="009463DF" w:rsidRPr="006D767A">
        <w:t xml:space="preserve"> the provision and management of</w:t>
      </w:r>
      <w:r w:rsidR="008015E9" w:rsidRPr="66A7F81D">
        <w:t xml:space="preserve"> </w:t>
      </w:r>
      <w:r w:rsidR="001D7F6A">
        <w:t>e</w:t>
      </w:r>
      <w:r w:rsidR="008015E9" w:rsidRPr="006D767A">
        <w:t>ligible loans</w:t>
      </w:r>
      <w:r w:rsidR="009463DF" w:rsidRPr="66A7F81D">
        <w:t xml:space="preserve"> (</w:t>
      </w:r>
      <w:r w:rsidR="00BD4CE9" w:rsidRPr="006D767A">
        <w:t xml:space="preserve">the </w:t>
      </w:r>
      <w:r w:rsidR="002D46D8" w:rsidRPr="00E87B58">
        <w:rPr>
          <w:b/>
          <w:bCs/>
        </w:rPr>
        <w:t>“</w:t>
      </w:r>
      <w:r w:rsidR="00BD4CE9" w:rsidRPr="00664D86">
        <w:rPr>
          <w:b/>
          <w:bCs/>
        </w:rPr>
        <w:t>Eligible</w:t>
      </w:r>
      <w:r w:rsidR="009463DF" w:rsidRPr="00664D86">
        <w:rPr>
          <w:b/>
          <w:bCs/>
        </w:rPr>
        <w:t xml:space="preserve"> Loan</w:t>
      </w:r>
      <w:r w:rsidR="00F40E43" w:rsidRPr="00664D86">
        <w:rPr>
          <w:b/>
          <w:bCs/>
        </w:rPr>
        <w:t>s</w:t>
      </w:r>
      <w:r w:rsidR="009463DF" w:rsidRPr="66A7F81D">
        <w:t>”)</w:t>
      </w:r>
      <w:r w:rsidR="0094246D">
        <w:t xml:space="preserve"> to Eligible Students benefitting under the FSMA scheme</w:t>
      </w:r>
      <w:r w:rsidR="00C13FF0" w:rsidRPr="006D767A">
        <w:t>. Such activities shall be carried out in accordance</w:t>
      </w:r>
      <w:r w:rsidR="00F40E43" w:rsidRPr="006D767A">
        <w:t xml:space="preserve"> with the contractual agreement</w:t>
      </w:r>
      <w:r w:rsidR="00C13FF0" w:rsidRPr="66A7F81D">
        <w:t xml:space="preserve"> </w:t>
      </w:r>
      <w:r w:rsidR="0094246D" w:rsidRPr="006D767A">
        <w:t>(the “</w:t>
      </w:r>
      <w:bookmarkStart w:id="2" w:name="_Hlk7192930"/>
      <w:r w:rsidR="0094246D" w:rsidRPr="00E87B58">
        <w:rPr>
          <w:b/>
          <w:bCs/>
        </w:rPr>
        <w:t>Operational Agreement</w:t>
      </w:r>
      <w:bookmarkEnd w:id="2"/>
      <w:r w:rsidR="0094246D" w:rsidRPr="66A7F81D">
        <w:t xml:space="preserve">”) </w:t>
      </w:r>
      <w:r w:rsidR="00C13FF0" w:rsidRPr="006D767A">
        <w:t xml:space="preserve">to be </w:t>
      </w:r>
      <w:proofErr w:type="gramStart"/>
      <w:r w:rsidR="00C13FF0" w:rsidRPr="006D767A">
        <w:t>entered into</w:t>
      </w:r>
      <w:proofErr w:type="gramEnd"/>
      <w:r w:rsidR="00C13FF0" w:rsidRPr="006D767A">
        <w:t xml:space="preserve"> by</w:t>
      </w:r>
      <w:r w:rsidR="008015E9" w:rsidRPr="66A7F81D">
        <w:t xml:space="preserve"> </w:t>
      </w:r>
      <w:r w:rsidR="0094246D">
        <w:t xml:space="preserve">the </w:t>
      </w:r>
      <w:r w:rsidR="008015E9" w:rsidRPr="006D767A">
        <w:t>MDB</w:t>
      </w:r>
      <w:r w:rsidR="00345398" w:rsidRPr="66A7F81D">
        <w:t xml:space="preserve"> </w:t>
      </w:r>
      <w:r w:rsidR="00C13FF0" w:rsidRPr="006D767A">
        <w:t>and the sel</w:t>
      </w:r>
      <w:r w:rsidR="00F40E43" w:rsidRPr="006D767A">
        <w:t xml:space="preserve">ected Financial </w:t>
      </w:r>
      <w:r w:rsidR="008015E9" w:rsidRPr="006D767A">
        <w:t>Institution</w:t>
      </w:r>
      <w:r w:rsidR="00912D5A">
        <w:t>/s</w:t>
      </w:r>
      <w:r w:rsidR="000029E3" w:rsidRPr="66A7F81D">
        <w:t>.</w:t>
      </w:r>
    </w:p>
    <w:p w14:paraId="5211AB02" w14:textId="17CEE0FA" w:rsidR="006C1D1C" w:rsidRPr="006D767A" w:rsidRDefault="006C1D1C" w:rsidP="00910428">
      <w:pPr>
        <w:jc w:val="both"/>
      </w:pPr>
      <w:r w:rsidRPr="006D767A">
        <w:lastRenderedPageBreak/>
        <w:t>MDB was set up in terms of the Malta Development Bank Act</w:t>
      </w:r>
      <w:r w:rsidR="0057692B">
        <w:t xml:space="preserve"> (the “</w:t>
      </w:r>
      <w:r w:rsidR="0057692B" w:rsidRPr="0057692B">
        <w:rPr>
          <w:b/>
        </w:rPr>
        <w:t>MDB Act</w:t>
      </w:r>
      <w:r w:rsidR="0057692B">
        <w:t>”)</w:t>
      </w:r>
      <w:r w:rsidRPr="006D767A">
        <w:t>, 2017 (Act XXI of 2017, CAP 574) which was passed by Parliament on 5 May 2017 and came into force on 24 November 2017.</w:t>
      </w:r>
      <w:r w:rsidR="000029E3" w:rsidRPr="006D767A">
        <w:t xml:space="preserve"> </w:t>
      </w:r>
      <w:r w:rsidRPr="006D767A">
        <w:t>The MDB commenced operations on 11 December 2017 when the MDB Board of Directors was appointed and held its first meeting.</w:t>
      </w:r>
    </w:p>
    <w:p w14:paraId="0A9F1DA8" w14:textId="1541732D" w:rsidR="006C1D1C" w:rsidRPr="006D767A" w:rsidRDefault="006C1D1C" w:rsidP="00910428">
      <w:pPr>
        <w:jc w:val="both"/>
      </w:pPr>
    </w:p>
    <w:p w14:paraId="4C1CCF5B" w14:textId="01CCFC6F" w:rsidR="008D177B" w:rsidRPr="006D767A" w:rsidRDefault="00DA5342" w:rsidP="00100511">
      <w:pPr>
        <w:jc w:val="both"/>
      </w:pPr>
      <w:r>
        <w:t>I</w:t>
      </w:r>
      <w:r w:rsidR="008D177B" w:rsidRPr="006D767A">
        <w:t>n terms of article 6(70(a)(iv) of the MDB Act</w:t>
      </w:r>
      <w:r w:rsidR="00DE4755">
        <w:t>,</w:t>
      </w:r>
      <w:r w:rsidR="008D177B" w:rsidRPr="006D767A">
        <w:t xml:space="preserve"> one of MDB’s objectives</w:t>
      </w:r>
      <w:r w:rsidR="006C1D1C" w:rsidRPr="006D767A">
        <w:t xml:space="preserve"> is to</w:t>
      </w:r>
      <w:r w:rsidR="008D177B" w:rsidRPr="006D767A">
        <w:t xml:space="preserve"> act as a vehicle to channel and manage </w:t>
      </w:r>
      <w:r w:rsidR="006C1D1C" w:rsidRPr="006D767A">
        <w:t xml:space="preserve">aided financing authorised </w:t>
      </w:r>
      <w:r w:rsidR="008D177B" w:rsidRPr="006D767A">
        <w:t xml:space="preserve">under EU financial instruments funded from </w:t>
      </w:r>
      <w:r>
        <w:t>the European Structural and Investment Funds (</w:t>
      </w:r>
      <w:r w:rsidR="0057692B" w:rsidRPr="0057692B">
        <w:t>“</w:t>
      </w:r>
      <w:r w:rsidRPr="0057692B">
        <w:rPr>
          <w:b/>
        </w:rPr>
        <w:t>ESIF</w:t>
      </w:r>
      <w:r w:rsidR="0057692B">
        <w:t>”</w:t>
      </w:r>
      <w:r>
        <w:t>)</w:t>
      </w:r>
      <w:r w:rsidR="003C542D">
        <w:t xml:space="preserve"> including the ESF</w:t>
      </w:r>
      <w:r w:rsidR="008D177B" w:rsidRPr="006D767A">
        <w:t>.</w:t>
      </w:r>
    </w:p>
    <w:p w14:paraId="0D767489" w14:textId="77777777" w:rsidR="00C372B4" w:rsidRPr="006D767A" w:rsidRDefault="00C372B4" w:rsidP="00100511">
      <w:pPr>
        <w:jc w:val="both"/>
        <w:rPr>
          <w:b/>
        </w:rPr>
      </w:pPr>
    </w:p>
    <w:p w14:paraId="14616C5C" w14:textId="025F2A50" w:rsidR="00647C9A" w:rsidRPr="006D767A" w:rsidRDefault="00647C9A" w:rsidP="00100511">
      <w:pPr>
        <w:jc w:val="both"/>
        <w:rPr>
          <w:b/>
        </w:rPr>
      </w:pPr>
      <w:r w:rsidRPr="006D767A">
        <w:rPr>
          <w:b/>
        </w:rPr>
        <w:t xml:space="preserve">Part I: Description of the </w:t>
      </w:r>
      <w:r w:rsidR="00375489">
        <w:rPr>
          <w:b/>
        </w:rPr>
        <w:t>FI</w:t>
      </w:r>
      <w:r w:rsidR="00DF0EFF">
        <w:rPr>
          <w:b/>
        </w:rPr>
        <w:t xml:space="preserve"> </w:t>
      </w:r>
      <w:r w:rsidRPr="006D767A">
        <w:rPr>
          <w:b/>
        </w:rPr>
        <w:t>(</w:t>
      </w:r>
      <w:r w:rsidR="00E45307">
        <w:rPr>
          <w:b/>
        </w:rPr>
        <w:t xml:space="preserve">Portfolio </w:t>
      </w:r>
      <w:r w:rsidRPr="006D767A">
        <w:rPr>
          <w:b/>
        </w:rPr>
        <w:t>Guarantee</w:t>
      </w:r>
      <w:r w:rsidR="00DF0EFF">
        <w:rPr>
          <w:b/>
        </w:rPr>
        <w:t xml:space="preserve"> and Interest Rate Subsidy</w:t>
      </w:r>
      <w:r w:rsidRPr="006D767A">
        <w:rPr>
          <w:b/>
        </w:rPr>
        <w:t>)</w:t>
      </w:r>
    </w:p>
    <w:p w14:paraId="7886CEEC" w14:textId="77777777" w:rsidR="00647C9A" w:rsidRPr="006D767A" w:rsidRDefault="00647C9A" w:rsidP="00100511">
      <w:pPr>
        <w:jc w:val="both"/>
        <w:rPr>
          <w:b/>
        </w:rPr>
      </w:pPr>
    </w:p>
    <w:p w14:paraId="66BD3B34" w14:textId="77777777" w:rsidR="00647C9A" w:rsidRPr="006D767A" w:rsidRDefault="00647C9A" w:rsidP="00D90932">
      <w:pPr>
        <w:pStyle w:val="ListParagraph"/>
        <w:numPr>
          <w:ilvl w:val="0"/>
          <w:numId w:val="1"/>
        </w:numPr>
        <w:spacing w:after="120"/>
        <w:ind w:left="1077"/>
        <w:contextualSpacing w:val="0"/>
        <w:jc w:val="both"/>
        <w:rPr>
          <w:b/>
        </w:rPr>
      </w:pPr>
      <w:r w:rsidRPr="006D767A">
        <w:rPr>
          <w:b/>
        </w:rPr>
        <w:t>Rationale</w:t>
      </w:r>
    </w:p>
    <w:p w14:paraId="04952352" w14:textId="774C3604" w:rsidR="00647C9A" w:rsidRPr="006D767A" w:rsidRDefault="00647C9A" w:rsidP="00100511">
      <w:pPr>
        <w:pStyle w:val="ListParagraph"/>
        <w:ind w:left="1080"/>
        <w:jc w:val="both"/>
      </w:pPr>
      <w:r w:rsidRPr="006D767A">
        <w:t xml:space="preserve">The purpose of the </w:t>
      </w:r>
      <w:r w:rsidR="00DE1AB2">
        <w:t>FI</w:t>
      </w:r>
      <w:r w:rsidRPr="006D767A">
        <w:t xml:space="preserve"> is to support Eligible Students by </w:t>
      </w:r>
      <w:r w:rsidR="00A05325">
        <w:t>enhancing their access to bank loans</w:t>
      </w:r>
      <w:r w:rsidR="004E50FE">
        <w:t>. This will be done</w:t>
      </w:r>
      <w:r w:rsidR="00390417">
        <w:t xml:space="preserve"> by</w:t>
      </w:r>
      <w:r w:rsidR="00A05325">
        <w:t xml:space="preserve"> </w:t>
      </w:r>
      <w:r w:rsidRPr="006D767A">
        <w:t xml:space="preserve">providing credit risk protection (in the form of a portfolio capped financial guarantee) </w:t>
      </w:r>
      <w:r w:rsidR="008032DB">
        <w:t xml:space="preserve">to the selected Financial </w:t>
      </w:r>
      <w:r w:rsidR="00393782">
        <w:t>Institution</w:t>
      </w:r>
      <w:r w:rsidR="46F39947">
        <w:t>/s</w:t>
      </w:r>
      <w:r w:rsidR="00393782">
        <w:t>. The FI will thus</w:t>
      </w:r>
      <w:r w:rsidRPr="006D767A">
        <w:t xml:space="preserve"> </w:t>
      </w:r>
      <w:r w:rsidR="007444FA">
        <w:t>mitigate</w:t>
      </w:r>
      <w:r w:rsidRPr="006D767A">
        <w:t xml:space="preserve"> the difficulties that </w:t>
      </w:r>
      <w:r w:rsidR="00DC4BBC">
        <w:t>Eligible S</w:t>
      </w:r>
      <w:r w:rsidRPr="006D767A">
        <w:t xml:space="preserve">tudents face in accessing finance because of the lack of </w:t>
      </w:r>
      <w:proofErr w:type="gramStart"/>
      <w:r w:rsidRPr="006D767A">
        <w:t>sufficient</w:t>
      </w:r>
      <w:proofErr w:type="gramEnd"/>
      <w:r w:rsidR="00333DF8">
        <w:t xml:space="preserve"> security</w:t>
      </w:r>
      <w:r w:rsidRPr="006D767A">
        <w:t xml:space="preserve"> in combination with the risk they represent.</w:t>
      </w:r>
    </w:p>
    <w:p w14:paraId="6878A3B4" w14:textId="77777777" w:rsidR="00647C9A" w:rsidRPr="006D767A" w:rsidRDefault="00647C9A" w:rsidP="00100511">
      <w:pPr>
        <w:pStyle w:val="ListParagraph"/>
        <w:ind w:left="1080"/>
        <w:jc w:val="both"/>
      </w:pPr>
    </w:p>
    <w:p w14:paraId="772D22F4" w14:textId="401BCDBB" w:rsidR="00647C9A" w:rsidRPr="006D767A" w:rsidRDefault="00BD511A" w:rsidP="00D90932">
      <w:pPr>
        <w:pStyle w:val="ListParagraph"/>
        <w:numPr>
          <w:ilvl w:val="0"/>
          <w:numId w:val="1"/>
        </w:numPr>
        <w:spacing w:after="120"/>
        <w:ind w:left="1077"/>
        <w:contextualSpacing w:val="0"/>
        <w:jc w:val="both"/>
        <w:rPr>
          <w:b/>
        </w:rPr>
      </w:pPr>
      <w:r>
        <w:rPr>
          <w:b/>
        </w:rPr>
        <w:t>T</w:t>
      </w:r>
      <w:r w:rsidR="00647C9A" w:rsidRPr="006D767A">
        <w:rPr>
          <w:b/>
        </w:rPr>
        <w:t xml:space="preserve">he </w:t>
      </w:r>
      <w:r w:rsidR="00540B48">
        <w:rPr>
          <w:b/>
        </w:rPr>
        <w:t xml:space="preserve">Portfolio </w:t>
      </w:r>
      <w:r w:rsidR="00647C9A" w:rsidRPr="006D767A">
        <w:rPr>
          <w:b/>
        </w:rPr>
        <w:t>Guarantee</w:t>
      </w:r>
      <w:r>
        <w:rPr>
          <w:b/>
        </w:rPr>
        <w:t xml:space="preserve"> under the FI</w:t>
      </w:r>
    </w:p>
    <w:p w14:paraId="6FE7B8DB" w14:textId="046FC8B1" w:rsidR="004B6BE1" w:rsidRDefault="00647C9A" w:rsidP="008B2C8A">
      <w:pPr>
        <w:pStyle w:val="ListParagraph"/>
        <w:spacing w:after="120"/>
        <w:ind w:left="1077"/>
        <w:contextualSpacing w:val="0"/>
        <w:jc w:val="both"/>
      </w:pPr>
      <w:r w:rsidRPr="006D767A">
        <w:t xml:space="preserve">The </w:t>
      </w:r>
      <w:r w:rsidR="0057692B">
        <w:t xml:space="preserve">Portfolio </w:t>
      </w:r>
      <w:r w:rsidR="00647483">
        <w:t>G</w:t>
      </w:r>
      <w:r w:rsidRPr="006D767A">
        <w:t>uarantee (the “</w:t>
      </w:r>
      <w:r w:rsidRPr="00E87B58">
        <w:rPr>
          <w:b/>
          <w:bCs/>
        </w:rPr>
        <w:t>Guarantee</w:t>
      </w:r>
      <w:r w:rsidRPr="006D767A">
        <w:t xml:space="preserve">”) shall be issued by </w:t>
      </w:r>
      <w:r w:rsidR="00F25590">
        <w:t xml:space="preserve">the </w:t>
      </w:r>
      <w:r w:rsidR="008015E9" w:rsidRPr="006D767A">
        <w:t xml:space="preserve">MDB </w:t>
      </w:r>
      <w:r w:rsidR="0057692B">
        <w:t>to</w:t>
      </w:r>
      <w:r w:rsidR="00135201">
        <w:t xml:space="preserve"> </w:t>
      </w:r>
      <w:r w:rsidR="0057692B">
        <w:t xml:space="preserve">the </w:t>
      </w:r>
      <w:r w:rsidR="00135201">
        <w:t>benefit to</w:t>
      </w:r>
      <w:r w:rsidR="00B6685D">
        <w:t xml:space="preserve"> </w:t>
      </w:r>
      <w:r w:rsidRPr="006D767A">
        <w:t xml:space="preserve">the </w:t>
      </w:r>
      <w:r w:rsidR="00BB2F08">
        <w:t xml:space="preserve">selected </w:t>
      </w:r>
      <w:r w:rsidRPr="006D767A">
        <w:t xml:space="preserve">Financial </w:t>
      </w:r>
      <w:r w:rsidR="008015E9" w:rsidRPr="006D767A">
        <w:t>Institution</w:t>
      </w:r>
      <w:r w:rsidR="56A072E8" w:rsidRPr="006D767A">
        <w:t>/s</w:t>
      </w:r>
      <w:r w:rsidR="00BB2F08">
        <w:t xml:space="preserve"> and the </w:t>
      </w:r>
      <w:r w:rsidR="0057692B">
        <w:t>Eligible Students</w:t>
      </w:r>
      <w:r w:rsidRPr="006D767A">
        <w:t xml:space="preserve">. </w:t>
      </w:r>
    </w:p>
    <w:p w14:paraId="036D05A3" w14:textId="3B373C87" w:rsidR="00777E4B" w:rsidRDefault="00286E8E" w:rsidP="008B2C8A">
      <w:pPr>
        <w:pStyle w:val="ListParagraph"/>
        <w:spacing w:after="120"/>
        <w:ind w:left="1077"/>
        <w:contextualSpacing w:val="0"/>
        <w:jc w:val="both"/>
      </w:pPr>
      <w:r>
        <w:t>The Guarantee</w:t>
      </w:r>
      <w:r w:rsidR="001D5808">
        <w:t xml:space="preserve"> </w:t>
      </w:r>
      <w:r w:rsidR="00647C9A" w:rsidRPr="006D767A">
        <w:t xml:space="preserve">shall partly cover the credit risk associated to </w:t>
      </w:r>
      <w:r w:rsidR="0057692B">
        <w:t xml:space="preserve">the </w:t>
      </w:r>
      <w:r w:rsidR="00647C9A" w:rsidRPr="006D767A">
        <w:t xml:space="preserve">underlying, new </w:t>
      </w:r>
      <w:r w:rsidR="00A331D8">
        <w:t>E</w:t>
      </w:r>
      <w:r w:rsidR="00647C9A" w:rsidRPr="006D767A">
        <w:t xml:space="preserve">ligible </w:t>
      </w:r>
      <w:r w:rsidR="00A331D8">
        <w:t>L</w:t>
      </w:r>
      <w:r w:rsidR="00647C9A" w:rsidRPr="006D767A">
        <w:t xml:space="preserve">oans to </w:t>
      </w:r>
      <w:r w:rsidR="006B3753">
        <w:t xml:space="preserve">Eligible </w:t>
      </w:r>
      <w:r w:rsidR="00647C9A" w:rsidRPr="006D767A">
        <w:t>Students included in the guarantee portfolio (the “</w:t>
      </w:r>
      <w:r w:rsidR="00647C9A" w:rsidRPr="006D767A">
        <w:rPr>
          <w:b/>
        </w:rPr>
        <w:t>Portfolio</w:t>
      </w:r>
      <w:r w:rsidR="00647C9A" w:rsidRPr="006D767A">
        <w:t>”)</w:t>
      </w:r>
      <w:r w:rsidR="00777E4B" w:rsidRPr="006D767A">
        <w:t xml:space="preserve">. Eligible Loans shall be covered </w:t>
      </w:r>
      <w:r w:rsidR="003E7A77" w:rsidRPr="006D767A">
        <w:t xml:space="preserve">by </w:t>
      </w:r>
      <w:r w:rsidR="00DD5E39">
        <w:t xml:space="preserve">the </w:t>
      </w:r>
      <w:r w:rsidR="008015E9" w:rsidRPr="006D767A">
        <w:t>MDB</w:t>
      </w:r>
      <w:r w:rsidR="003E7A77" w:rsidRPr="006D767A">
        <w:t xml:space="preserve"> at a guarantee rate of 8</w:t>
      </w:r>
      <w:r w:rsidR="00777E4B" w:rsidRPr="006D767A">
        <w:t xml:space="preserve">0% </w:t>
      </w:r>
      <w:r w:rsidR="00FB1E8B">
        <w:t xml:space="preserve">of each eligible loan </w:t>
      </w:r>
      <w:r w:rsidR="00777E4B" w:rsidRPr="006D767A">
        <w:t xml:space="preserve">subject to a maximum liability in respect of loan losses expressed as a guarantee cap amount </w:t>
      </w:r>
      <w:r w:rsidR="0057692B" w:rsidRPr="006D767A">
        <w:t>(the “</w:t>
      </w:r>
      <w:r w:rsidR="0057692B" w:rsidRPr="006D767A">
        <w:rPr>
          <w:b/>
        </w:rPr>
        <w:t>Cap Amount</w:t>
      </w:r>
      <w:r w:rsidR="0057692B" w:rsidRPr="006D767A">
        <w:t xml:space="preserve">”) </w:t>
      </w:r>
      <w:r w:rsidR="00FD38A4">
        <w:t>of a</w:t>
      </w:r>
      <w:r w:rsidR="0044409D">
        <w:t xml:space="preserve"> maximum of </w:t>
      </w:r>
      <w:r w:rsidR="00787ABD">
        <w:t xml:space="preserve">EUR </w:t>
      </w:r>
      <w:r w:rsidR="00175E81">
        <w:t>1.1 million</w:t>
      </w:r>
      <w:r w:rsidR="00777E4B" w:rsidRPr="006D767A">
        <w:t xml:space="preserve"> calculated on a portfolio basis as </w:t>
      </w:r>
      <w:r w:rsidR="006D67C6">
        <w:t>25%</w:t>
      </w:r>
      <w:r w:rsidR="00777E4B" w:rsidRPr="006D767A">
        <w:t xml:space="preserve"> of the </w:t>
      </w:r>
      <w:r w:rsidR="00175E81">
        <w:t>P</w:t>
      </w:r>
      <w:r w:rsidR="00777E4B" w:rsidRPr="006D767A">
        <w:t>ortfolio (the “</w:t>
      </w:r>
      <w:r w:rsidR="00777E4B" w:rsidRPr="006D767A">
        <w:rPr>
          <w:b/>
        </w:rPr>
        <w:t>Guarantee Cap Rate</w:t>
      </w:r>
      <w:r w:rsidR="00777E4B" w:rsidRPr="006D767A">
        <w:t>”).</w:t>
      </w:r>
      <w:r w:rsidR="0044409D">
        <w:t xml:space="preserve"> </w:t>
      </w:r>
      <w:r w:rsidR="009979DB">
        <w:t xml:space="preserve">The MA </w:t>
      </w:r>
      <w:r w:rsidR="0044409D">
        <w:t xml:space="preserve">will reserve the right </w:t>
      </w:r>
      <w:r w:rsidR="0057692B">
        <w:t xml:space="preserve">to </w:t>
      </w:r>
      <w:r w:rsidR="0044409D">
        <w:t>increas</w:t>
      </w:r>
      <w:r w:rsidR="00801C8F">
        <w:t>e</w:t>
      </w:r>
      <w:r w:rsidR="0044409D">
        <w:t xml:space="preserve"> the </w:t>
      </w:r>
      <w:r w:rsidR="002D6166">
        <w:t xml:space="preserve">funding allocated to this </w:t>
      </w:r>
      <w:r w:rsidR="00FD38A4">
        <w:t>FI</w:t>
      </w:r>
      <w:r w:rsidR="0044409D">
        <w:t>.</w:t>
      </w:r>
    </w:p>
    <w:p w14:paraId="69A407C4" w14:textId="729E2D99" w:rsidR="009F773A" w:rsidRPr="006D767A" w:rsidRDefault="009F773A" w:rsidP="008B2C8A">
      <w:pPr>
        <w:pStyle w:val="ListParagraph"/>
        <w:spacing w:after="120"/>
        <w:ind w:left="1077"/>
        <w:contextualSpacing w:val="0"/>
        <w:jc w:val="both"/>
      </w:pPr>
      <w:r>
        <w:t xml:space="preserve">The Eligible Student shall benefit from enhanced access to bank financing. </w:t>
      </w:r>
      <w:r w:rsidR="002D2D3F">
        <w:t>Moreover</w:t>
      </w:r>
      <w:r w:rsidR="00AA2D59">
        <w:t>,</w:t>
      </w:r>
      <w:r w:rsidR="002D2D3F">
        <w:t xml:space="preserve"> the selected </w:t>
      </w:r>
      <w:r>
        <w:t>Financial Institution</w:t>
      </w:r>
      <w:r w:rsidR="0057692B">
        <w:t>/s</w:t>
      </w:r>
      <w:r>
        <w:t xml:space="preserve"> </w:t>
      </w:r>
      <w:r w:rsidR="00801C8F">
        <w:t>shall</w:t>
      </w:r>
      <w:r w:rsidR="002B2446">
        <w:t xml:space="preserve"> demonstrate that the benefit of the Guarantee is fully passed on </w:t>
      </w:r>
      <w:r>
        <w:t xml:space="preserve">to the </w:t>
      </w:r>
      <w:r w:rsidR="00412C60">
        <w:t>E</w:t>
      </w:r>
      <w:r w:rsidR="002D2D3F">
        <w:t xml:space="preserve">ligible </w:t>
      </w:r>
      <w:r w:rsidR="00412C60">
        <w:t>S</w:t>
      </w:r>
      <w:r>
        <w:t>tudent by offering a lower credit risk premium rate than normally charged</w:t>
      </w:r>
      <w:r w:rsidR="007B6965">
        <w:t xml:space="preserve"> </w:t>
      </w:r>
      <w:r w:rsidR="00184AD2">
        <w:t>as</w:t>
      </w:r>
      <w:r w:rsidR="007B6965">
        <w:t xml:space="preserve"> well as no security requirements</w:t>
      </w:r>
      <w:r>
        <w:t>.</w:t>
      </w:r>
      <w:r w:rsidR="00AA2D59">
        <w:t xml:space="preserve"> </w:t>
      </w:r>
      <w:r>
        <w:t xml:space="preserve">In addition, the </w:t>
      </w:r>
      <w:r w:rsidR="00412C60">
        <w:t>Eligible S</w:t>
      </w:r>
      <w:r>
        <w:t xml:space="preserve">tudent shall benefit from </w:t>
      </w:r>
      <w:r w:rsidR="00010E93">
        <w:t>zero interest payment during the moratorium period.</w:t>
      </w:r>
    </w:p>
    <w:p w14:paraId="147338C4" w14:textId="739F8CD2" w:rsidR="00AA2D59" w:rsidRDefault="00FF53F9" w:rsidP="008B2C8A">
      <w:pPr>
        <w:pStyle w:val="ListParagraph"/>
        <w:spacing w:after="120"/>
        <w:ind w:left="1077"/>
        <w:contextualSpacing w:val="0"/>
        <w:jc w:val="both"/>
      </w:pPr>
      <w:r>
        <w:t xml:space="preserve">The </w:t>
      </w:r>
      <w:r w:rsidR="004E78D2">
        <w:t xml:space="preserve">duration of the </w:t>
      </w:r>
      <w:r w:rsidR="006D1A7F">
        <w:t>G</w:t>
      </w:r>
      <w:r>
        <w:t xml:space="preserve">uarantee </w:t>
      </w:r>
      <w:r w:rsidR="004E78D2">
        <w:t>i</w:t>
      </w:r>
      <w:r w:rsidR="00CE1A8F">
        <w:t xml:space="preserve">s for a maximum term of fifteen (15) years </w:t>
      </w:r>
      <w:r w:rsidR="005262CD">
        <w:t xml:space="preserve">covering the </w:t>
      </w:r>
      <w:r w:rsidR="00FD38A4">
        <w:t xml:space="preserve">full moratorium period </w:t>
      </w:r>
      <w:r w:rsidR="002655E7">
        <w:t xml:space="preserve">of </w:t>
      </w:r>
      <w:r w:rsidR="00FD38A4">
        <w:t>up to a maximum of five (5) years</w:t>
      </w:r>
      <w:r w:rsidR="00CE1A8F">
        <w:t>;</w:t>
      </w:r>
      <w:r w:rsidR="00FD38A4">
        <w:t xml:space="preserve"> and the loan repayment period </w:t>
      </w:r>
      <w:r w:rsidR="00CE1A8F">
        <w:t xml:space="preserve">of </w:t>
      </w:r>
      <w:r w:rsidR="00FD38A4">
        <w:t xml:space="preserve">up to a maximum of ten (10) years following the moratorium period. </w:t>
      </w:r>
    </w:p>
    <w:p w14:paraId="64EFAAFA" w14:textId="03A68DEF" w:rsidR="00777E4B" w:rsidRPr="006D767A" w:rsidRDefault="00777E4B" w:rsidP="008B2C8A">
      <w:pPr>
        <w:pStyle w:val="ListParagraph"/>
        <w:spacing w:after="120"/>
        <w:ind w:left="1077"/>
        <w:contextualSpacing w:val="0"/>
        <w:jc w:val="both"/>
      </w:pPr>
      <w:r w:rsidRPr="006D767A">
        <w:t xml:space="preserve">The Guarantee </w:t>
      </w:r>
      <w:r w:rsidR="0057692B">
        <w:t xml:space="preserve">on Eligible Loans </w:t>
      </w:r>
      <w:r w:rsidRPr="006D767A">
        <w:t>shall constitute a direct</w:t>
      </w:r>
      <w:r w:rsidR="00631D14">
        <w:t xml:space="preserve"> irrevocable and unconditional</w:t>
      </w:r>
      <w:r w:rsidRPr="006D767A">
        <w:t xml:space="preserve"> financial guarantee and shall cover losses relating to unpaid principal and interest incurred by the </w:t>
      </w:r>
      <w:r w:rsidR="00D91E7A">
        <w:t xml:space="preserve">selected </w:t>
      </w:r>
      <w:r w:rsidRPr="006D767A">
        <w:t xml:space="preserve">Financial </w:t>
      </w:r>
      <w:r w:rsidR="008015E9" w:rsidRPr="006D767A">
        <w:t>Institution</w:t>
      </w:r>
      <w:r w:rsidR="0057692B">
        <w:t>/s</w:t>
      </w:r>
      <w:r w:rsidRPr="006D767A">
        <w:t>, until the “</w:t>
      </w:r>
      <w:r w:rsidRPr="006D767A">
        <w:rPr>
          <w:b/>
        </w:rPr>
        <w:t>date of default</w:t>
      </w:r>
      <w:r w:rsidRPr="006D767A">
        <w:t>” in respect of each defaulted Eligible</w:t>
      </w:r>
      <w:r w:rsidR="005262CD">
        <w:t xml:space="preserve"> Student Transaction</w:t>
      </w:r>
      <w:r w:rsidRPr="006D767A">
        <w:t xml:space="preserve"> up to the Cap Amount.</w:t>
      </w:r>
      <w:r w:rsidR="005262CD">
        <w:t xml:space="preserve"> The Guarantee shall not cover Student Transactions which become Non-Eligible Transaction because of an Exclusion.</w:t>
      </w:r>
    </w:p>
    <w:p w14:paraId="0AA96579" w14:textId="1AEEB4F4" w:rsidR="00777E4B" w:rsidRPr="00BB2F08" w:rsidRDefault="00777E4B" w:rsidP="008B2C8A">
      <w:pPr>
        <w:pStyle w:val="ListParagraph"/>
        <w:spacing w:after="120"/>
        <w:ind w:left="1077"/>
        <w:contextualSpacing w:val="0"/>
        <w:jc w:val="both"/>
      </w:pPr>
      <w:r w:rsidRPr="006D767A">
        <w:t>Eligible Loans will be automatically covered</w:t>
      </w:r>
      <w:r w:rsidR="00741BFA">
        <w:t xml:space="preserve"> </w:t>
      </w:r>
      <w:r w:rsidR="00134E33">
        <w:t xml:space="preserve">by the </w:t>
      </w:r>
      <w:r w:rsidR="00A33134">
        <w:t>G</w:t>
      </w:r>
      <w:r w:rsidR="00134E33">
        <w:t xml:space="preserve">uarantee </w:t>
      </w:r>
      <w:r w:rsidR="00741BFA" w:rsidRPr="006D767A">
        <w:t>(</w:t>
      </w:r>
      <w:r w:rsidR="00741BFA">
        <w:t xml:space="preserve">up to the limits </w:t>
      </w:r>
      <w:r w:rsidR="000E03C9">
        <w:t xml:space="preserve">prescribed </w:t>
      </w:r>
      <w:r w:rsidR="00741BFA" w:rsidRPr="006D767A">
        <w:t xml:space="preserve">according to pre-defined eligibility criteria on a loan-by-loan </w:t>
      </w:r>
      <w:r w:rsidR="00741BFA">
        <w:t xml:space="preserve">basis </w:t>
      </w:r>
      <w:r w:rsidR="00741BFA" w:rsidRPr="006D767A">
        <w:t xml:space="preserve">and </w:t>
      </w:r>
      <w:r w:rsidR="000E03C9">
        <w:t xml:space="preserve">at </w:t>
      </w:r>
      <w:r w:rsidR="00741BFA" w:rsidRPr="006D767A">
        <w:t>portfolio level)</w:t>
      </w:r>
      <w:r w:rsidR="00134E33">
        <w:t xml:space="preserve"> </w:t>
      </w:r>
      <w:r w:rsidR="00411901">
        <w:t>following the</w:t>
      </w:r>
      <w:r w:rsidRPr="006D767A">
        <w:t xml:space="preserve"> submi</w:t>
      </w:r>
      <w:r w:rsidR="00411901">
        <w:t>ssion by the selected Financial Institution</w:t>
      </w:r>
      <w:r w:rsidR="00912D5A">
        <w:t>/s</w:t>
      </w:r>
      <w:r w:rsidR="000A2DFF">
        <w:t xml:space="preserve"> of </w:t>
      </w:r>
      <w:r w:rsidRPr="006D767A">
        <w:t xml:space="preserve">inclusion notices </w:t>
      </w:r>
      <w:r w:rsidR="00EF2438" w:rsidRPr="006D767A">
        <w:t xml:space="preserve">to </w:t>
      </w:r>
      <w:r w:rsidR="000A2DFF">
        <w:t xml:space="preserve">the </w:t>
      </w:r>
      <w:r w:rsidR="00EF2438" w:rsidRPr="006D767A">
        <w:t xml:space="preserve">MDB </w:t>
      </w:r>
      <w:r w:rsidRPr="006D767A">
        <w:t xml:space="preserve">on a </w:t>
      </w:r>
      <w:r w:rsidR="00EF2438" w:rsidRPr="006D767A">
        <w:t>monthly</w:t>
      </w:r>
      <w:r w:rsidRPr="006D767A">
        <w:t xml:space="preserve"> </w:t>
      </w:r>
      <w:r w:rsidR="009E578E">
        <w:t xml:space="preserve">and quarterly </w:t>
      </w:r>
      <w:r w:rsidRPr="006D767A">
        <w:t>basis</w:t>
      </w:r>
      <w:r w:rsidR="009E578E">
        <w:t xml:space="preserve"> as </w:t>
      </w:r>
      <w:r w:rsidR="00867A02">
        <w:t xml:space="preserve">specified in the </w:t>
      </w:r>
      <w:r w:rsidR="00867A02" w:rsidRPr="00867A02">
        <w:t>Operational Agreement</w:t>
      </w:r>
      <w:r w:rsidRPr="00867A02">
        <w:t>.</w:t>
      </w:r>
    </w:p>
    <w:p w14:paraId="4740D721" w14:textId="792D4F41" w:rsidR="000A2DFF" w:rsidRDefault="00777E4B" w:rsidP="008B2C8A">
      <w:pPr>
        <w:pStyle w:val="ListParagraph"/>
        <w:spacing w:after="120"/>
        <w:ind w:left="1077"/>
        <w:contextualSpacing w:val="0"/>
        <w:jc w:val="both"/>
      </w:pPr>
      <w:r w:rsidRPr="006D767A">
        <w:t xml:space="preserve">No Guarantee Fee will be payable by the Financial </w:t>
      </w:r>
      <w:r w:rsidR="008015E9" w:rsidRPr="006D767A">
        <w:t>Institution</w:t>
      </w:r>
      <w:r w:rsidR="00912D5A">
        <w:t>/s</w:t>
      </w:r>
      <w:r w:rsidR="00C02D49">
        <w:t xml:space="preserve"> in respect of the </w:t>
      </w:r>
      <w:r w:rsidR="00A33134">
        <w:t>G</w:t>
      </w:r>
      <w:r w:rsidR="00C02D49">
        <w:t xml:space="preserve">uarantee provided by the MDB </w:t>
      </w:r>
      <w:r w:rsidR="005C6662">
        <w:t xml:space="preserve">covering </w:t>
      </w:r>
      <w:r w:rsidR="00A33134">
        <w:t>E</w:t>
      </w:r>
      <w:r w:rsidR="005C6662">
        <w:t xml:space="preserve">ligible </w:t>
      </w:r>
      <w:r w:rsidR="00A33134">
        <w:t>L</w:t>
      </w:r>
      <w:r w:rsidR="005C6662">
        <w:t>oans</w:t>
      </w:r>
      <w:r w:rsidR="000C2FA0" w:rsidRPr="006D767A">
        <w:t>.</w:t>
      </w:r>
    </w:p>
    <w:p w14:paraId="28843BEE" w14:textId="13CBDF20" w:rsidR="00D10272" w:rsidRPr="006D767A" w:rsidRDefault="00C64BB2" w:rsidP="008B2C8A">
      <w:pPr>
        <w:pStyle w:val="ListParagraph"/>
        <w:spacing w:after="120"/>
        <w:ind w:left="1077"/>
        <w:contextualSpacing w:val="0"/>
        <w:jc w:val="both"/>
        <w:rPr>
          <w:color w:val="FF0000"/>
        </w:rPr>
      </w:pPr>
      <w:r>
        <w:t xml:space="preserve">The structure of the </w:t>
      </w:r>
      <w:r w:rsidR="00CA6210">
        <w:t>G</w:t>
      </w:r>
      <w:r>
        <w:t>uarantee is illustrated below.</w:t>
      </w:r>
    </w:p>
    <w:p w14:paraId="2B56DE25" w14:textId="3E94EC1C" w:rsidR="00D10272" w:rsidRPr="006D767A" w:rsidRDefault="00D10272" w:rsidP="00100511">
      <w:pPr>
        <w:pStyle w:val="ListParagraph"/>
        <w:ind w:left="1080"/>
        <w:jc w:val="both"/>
        <w:rPr>
          <w:color w:val="FF0000"/>
        </w:rPr>
      </w:pPr>
    </w:p>
    <w:p w14:paraId="308CEDB4" w14:textId="77777777" w:rsidR="00201AE1" w:rsidRPr="006D767A" w:rsidRDefault="00201AE1" w:rsidP="00201AE1">
      <w:pPr>
        <w:pStyle w:val="ListParagraph"/>
        <w:ind w:left="1080"/>
        <w:rPr>
          <w:b/>
        </w:rPr>
      </w:pPr>
    </w:p>
    <w:p w14:paraId="2987F167" w14:textId="77777777" w:rsidR="00201AE1" w:rsidRPr="006D767A" w:rsidRDefault="00EF2438" w:rsidP="00201AE1">
      <w:pPr>
        <w:pStyle w:val="ListParagraph"/>
        <w:ind w:left="1080"/>
        <w:rPr>
          <w:b/>
        </w:rPr>
      </w:pPr>
      <w:r w:rsidRPr="006D767A">
        <w:rPr>
          <w:b/>
          <w:noProof/>
          <w:lang w:eastAsia="en-GB"/>
        </w:rPr>
        <mc:AlternateContent>
          <mc:Choice Requires="wps">
            <w:drawing>
              <wp:anchor distT="0" distB="0" distL="114300" distR="114300" simplePos="0" relativeHeight="251658242" behindDoc="0" locked="0" layoutInCell="1" allowOverlap="1" wp14:anchorId="04014CCC" wp14:editId="532D9DB6">
                <wp:simplePos x="0" y="0"/>
                <wp:positionH relativeFrom="column">
                  <wp:posOffset>2828925</wp:posOffset>
                </wp:positionH>
                <wp:positionV relativeFrom="paragraph">
                  <wp:posOffset>46355</wp:posOffset>
                </wp:positionV>
                <wp:extent cx="1809750" cy="2619375"/>
                <wp:effectExtent l="0" t="0" r="0" b="9525"/>
                <wp:wrapNone/>
                <wp:docPr id="20" name="Rectangle 20"/>
                <wp:cNvGraphicFramePr/>
                <a:graphic xmlns:a="http://schemas.openxmlformats.org/drawingml/2006/main">
                  <a:graphicData uri="http://schemas.microsoft.com/office/word/2010/wordprocessingShape">
                    <wps:wsp>
                      <wps:cNvSpPr/>
                      <wps:spPr>
                        <a:xfrm>
                          <a:off x="0" y="0"/>
                          <a:ext cx="1809750" cy="2619375"/>
                        </a:xfrm>
                        <a:prstGeom prst="rect">
                          <a:avLst/>
                        </a:prstGeom>
                        <a:solidFill>
                          <a:schemeClr val="bg2">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190D299" w14:textId="77777777" w:rsidR="00483C22" w:rsidRPr="00FE76CC" w:rsidRDefault="00483C22" w:rsidP="008015E9">
                            <w:pPr>
                              <w:jc w:val="center"/>
                              <w:rPr>
                                <w:b/>
                              </w:rPr>
                            </w:pPr>
                            <w:r w:rsidRPr="00FE76CC">
                              <w:rPr>
                                <w:b/>
                              </w:rPr>
                              <w:t>Financial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4CCC" id="Rectangle 20" o:spid="_x0000_s1026" style="position:absolute;left:0;text-align:left;margin-left:222.75pt;margin-top:3.65pt;width:142.5pt;height:20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" fillcolor="#8a7a57 [1614]" stroked="f" strokeweight="1pt">
                <v:textbox>
                  <w:txbxContent>
                    <w:p w14:paraId="3190D299" w14:textId="77777777" w:rsidR="00483C22" w:rsidRPr="00FE76CC" w:rsidRDefault="00483C22" w:rsidP="008015E9">
                      <w:pPr>
                        <w:jc w:val="center"/>
                        <w:rPr>
                          <w:b/>
                        </w:rPr>
                      </w:pPr>
                      <w:r w:rsidRPr="00FE76CC">
                        <w:rPr>
                          <w:b/>
                        </w:rPr>
                        <w:t>Financial Institution</w:t>
                      </w:r>
                    </w:p>
                  </w:txbxContent>
                </v:textbox>
              </v:rect>
            </w:pict>
          </mc:Fallback>
        </mc:AlternateContent>
      </w:r>
      <w:r w:rsidR="00201AE1" w:rsidRPr="006D767A">
        <w:rPr>
          <w:b/>
          <w:noProof/>
          <w:lang w:eastAsia="en-GB"/>
        </w:rPr>
        <mc:AlternateContent>
          <mc:Choice Requires="wps">
            <w:drawing>
              <wp:anchor distT="0" distB="0" distL="114300" distR="114300" simplePos="0" relativeHeight="251658241" behindDoc="0" locked="0" layoutInCell="1" allowOverlap="1" wp14:anchorId="3678EF4D" wp14:editId="588123C7">
                <wp:simplePos x="0" y="0"/>
                <wp:positionH relativeFrom="column">
                  <wp:posOffset>2047875</wp:posOffset>
                </wp:positionH>
                <wp:positionV relativeFrom="paragraph">
                  <wp:posOffset>168275</wp:posOffset>
                </wp:positionV>
                <wp:extent cx="257175" cy="2409825"/>
                <wp:effectExtent l="38100" t="0" r="28575" b="28575"/>
                <wp:wrapNone/>
                <wp:docPr id="18" name="Left Brace 18"/>
                <wp:cNvGraphicFramePr/>
                <a:graphic xmlns:a="http://schemas.openxmlformats.org/drawingml/2006/main">
                  <a:graphicData uri="http://schemas.microsoft.com/office/word/2010/wordprocessingShape">
                    <wps:wsp>
                      <wps:cNvSpPr/>
                      <wps:spPr>
                        <a:xfrm>
                          <a:off x="0" y="0"/>
                          <a:ext cx="257175" cy="24098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9F2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161.25pt;margin-top:13.25pt;width:20.25pt;height:18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" adj="192" strokecolor="#d34817 [3204]" strokeweight=".5pt">
                <v:stroke joinstyle="miter"/>
              </v:shape>
            </w:pict>
          </mc:Fallback>
        </mc:AlternateContent>
      </w:r>
      <w:bookmarkStart w:id="3" w:name="_Hlk10463508"/>
    </w:p>
    <w:p w14:paraId="5F44BC2E" w14:textId="77777777" w:rsidR="00201AE1" w:rsidRPr="006D767A" w:rsidRDefault="00201AE1" w:rsidP="00201AE1">
      <w:pPr>
        <w:pStyle w:val="ListParagraph"/>
        <w:ind w:left="1080"/>
        <w:rPr>
          <w:b/>
        </w:rPr>
      </w:pPr>
    </w:p>
    <w:p w14:paraId="6AF420A7" w14:textId="77777777" w:rsidR="00201AE1" w:rsidRPr="006D767A" w:rsidRDefault="00201AE1" w:rsidP="00201AE1">
      <w:pPr>
        <w:pStyle w:val="ListParagraph"/>
        <w:ind w:left="1080"/>
        <w:rPr>
          <w:b/>
        </w:rPr>
      </w:pPr>
      <w:r w:rsidRPr="006D767A">
        <w:rPr>
          <w:b/>
          <w:noProof/>
          <w:lang w:eastAsia="en-GB"/>
        </w:rPr>
        <mc:AlternateContent>
          <mc:Choice Requires="wps">
            <w:drawing>
              <wp:anchor distT="0" distB="0" distL="114300" distR="114300" simplePos="0" relativeHeight="251658240" behindDoc="0" locked="0" layoutInCell="1" allowOverlap="1" wp14:anchorId="6D467C15" wp14:editId="33BA4A87">
                <wp:simplePos x="0" y="0"/>
                <wp:positionH relativeFrom="column">
                  <wp:posOffset>561975</wp:posOffset>
                </wp:positionH>
                <wp:positionV relativeFrom="paragraph">
                  <wp:posOffset>113030</wp:posOffset>
                </wp:positionV>
                <wp:extent cx="1085850" cy="1638300"/>
                <wp:effectExtent l="0" t="0" r="0" b="0"/>
                <wp:wrapNone/>
                <wp:docPr id="19" name="Rectangle 19"/>
                <wp:cNvGraphicFramePr/>
                <a:graphic xmlns:a="http://schemas.openxmlformats.org/drawingml/2006/main">
                  <a:graphicData uri="http://schemas.microsoft.com/office/word/2010/wordprocessingShape">
                    <wps:wsp>
                      <wps:cNvSpPr/>
                      <wps:spPr>
                        <a:xfrm>
                          <a:off x="0" y="0"/>
                          <a:ext cx="1085850" cy="1638300"/>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txbx>
                        <w:txbxContent>
                          <w:p w14:paraId="4862A50E" w14:textId="2036F7EA" w:rsidR="00483C22" w:rsidRPr="00D9245C" w:rsidRDefault="00483C22" w:rsidP="00201AE1">
                            <w:pPr>
                              <w:jc w:val="center"/>
                              <w:rPr>
                                <w:b/>
                              </w:rPr>
                            </w:pPr>
                            <w:r w:rsidRPr="00D9245C">
                              <w:rPr>
                                <w:b/>
                              </w:rPr>
                              <w:t xml:space="preserve">EUR 1.1m from the ESF should stimulate at least EUR 5.5m of new Eligible Loans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67C15" id="Rectangle 19" o:spid="_x0000_s1027" style="position:absolute;left:0;text-align:left;margin-left:44.25pt;margin-top:8.9pt;width:85.5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" fillcolor="#d8d8d8 [2732]" stroked="f" strokeweight="1pt">
                <v:textbox>
                  <w:txbxContent>
                    <w:p w14:paraId="4862A50E" w14:textId="2036F7EA" w:rsidR="00483C22" w:rsidRPr="00D9245C" w:rsidRDefault="00483C22" w:rsidP="00201AE1">
                      <w:pPr>
                        <w:jc w:val="center"/>
                        <w:rPr>
                          <w:b/>
                        </w:rPr>
                      </w:pPr>
                      <w:r w:rsidRPr="00D9245C">
                        <w:rPr>
                          <w:b/>
                        </w:rPr>
                        <w:t xml:space="preserve">EUR 1.1m from the ESF should stimulate at least EUR 5.5m of new Eligible Loans </w:t>
                      </w:r>
                    </w:p>
                  </w:txbxContent>
                </v:textbox>
              </v:rect>
            </w:pict>
          </mc:Fallback>
        </mc:AlternateContent>
      </w:r>
    </w:p>
    <w:p w14:paraId="32958EBF" w14:textId="77777777" w:rsidR="00201AE1" w:rsidRPr="006D767A" w:rsidRDefault="00201AE1" w:rsidP="00201AE1">
      <w:pPr>
        <w:pStyle w:val="ListParagraph"/>
        <w:ind w:left="1080"/>
        <w:rPr>
          <w:b/>
        </w:rPr>
      </w:pPr>
    </w:p>
    <w:p w14:paraId="2E91F467" w14:textId="77777777" w:rsidR="00201AE1" w:rsidRPr="006D767A" w:rsidRDefault="00201AE1" w:rsidP="00201AE1">
      <w:pPr>
        <w:pStyle w:val="ListParagraph"/>
        <w:ind w:left="1080"/>
        <w:rPr>
          <w:b/>
        </w:rPr>
      </w:pPr>
    </w:p>
    <w:p w14:paraId="3059E40B" w14:textId="77777777" w:rsidR="00201AE1" w:rsidRPr="006D767A" w:rsidRDefault="00201AE1" w:rsidP="00201AE1">
      <w:pPr>
        <w:pStyle w:val="ListParagraph"/>
        <w:ind w:left="1080"/>
        <w:rPr>
          <w:b/>
        </w:rPr>
      </w:pPr>
    </w:p>
    <w:p w14:paraId="038E3E8F" w14:textId="7B27C01C" w:rsidR="00201AE1" w:rsidRPr="006D767A" w:rsidRDefault="00201AE1" w:rsidP="00201AE1">
      <w:pPr>
        <w:pStyle w:val="ListParagraph"/>
        <w:ind w:left="1080"/>
        <w:rPr>
          <w:b/>
        </w:rPr>
      </w:pPr>
    </w:p>
    <w:p w14:paraId="0302AF26" w14:textId="3F01F140" w:rsidR="00201AE1" w:rsidRPr="006D767A" w:rsidRDefault="008B2C8A" w:rsidP="00201AE1">
      <w:pPr>
        <w:pStyle w:val="ListParagraph"/>
        <w:ind w:left="1080"/>
        <w:rPr>
          <w:b/>
        </w:rPr>
      </w:pPr>
      <w:r w:rsidRPr="006D767A">
        <w:rPr>
          <w:b/>
          <w:noProof/>
          <w:lang w:eastAsia="en-GB"/>
        </w:rPr>
        <mc:AlternateContent>
          <mc:Choice Requires="wps">
            <w:drawing>
              <wp:anchor distT="0" distB="0" distL="114300" distR="114300" simplePos="0" relativeHeight="251658245" behindDoc="0" locked="0" layoutInCell="1" allowOverlap="1" wp14:anchorId="2B3E3A3D" wp14:editId="349D82ED">
                <wp:simplePos x="0" y="0"/>
                <wp:positionH relativeFrom="column">
                  <wp:posOffset>4895850</wp:posOffset>
                </wp:positionH>
                <wp:positionV relativeFrom="paragraph">
                  <wp:posOffset>44449</wp:posOffset>
                </wp:positionV>
                <wp:extent cx="962025" cy="5810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962025" cy="5810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DDE69" w14:textId="77777777" w:rsidR="00483C22" w:rsidRPr="00FE76CC" w:rsidRDefault="00483C22" w:rsidP="008B2C8A">
                            <w:pPr>
                              <w:jc w:val="center"/>
                              <w:rPr>
                                <w:b/>
                              </w:rPr>
                            </w:pPr>
                            <w:r w:rsidRPr="00FE76CC">
                              <w:rPr>
                                <w:b/>
                              </w:rPr>
                              <w:t>Cap rate</w:t>
                            </w:r>
                          </w:p>
                          <w:p w14:paraId="481A64D2" w14:textId="77D18205" w:rsidR="00483C22" w:rsidRPr="00FE76CC" w:rsidRDefault="00483C22" w:rsidP="008B2C8A">
                            <w:pPr>
                              <w:jc w:val="center"/>
                              <w:rPr>
                                <w:b/>
                              </w:rPr>
                            </w:pPr>
                            <w:r w:rsidRPr="00FE76CC">
                              <w:rPr>
                                <w:b/>
                              </w:rPr>
                              <w:t>up to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E3A3D" id="Rectangle 21" o:spid="_x0000_s1028" style="position:absolute;left:0;text-align:left;margin-left:385.5pt;margin-top:3.5pt;width:75.75pt;height:4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" fillcolor="#9b2d1f [3205]" stroked="f" strokeweight="1pt">
                <v:textbox>
                  <w:txbxContent>
                    <w:p w14:paraId="6D0DDE69" w14:textId="77777777" w:rsidR="00483C22" w:rsidRPr="00FE76CC" w:rsidRDefault="00483C22" w:rsidP="008B2C8A">
                      <w:pPr>
                        <w:jc w:val="center"/>
                        <w:rPr>
                          <w:b/>
                        </w:rPr>
                      </w:pPr>
                      <w:r w:rsidRPr="00FE76CC">
                        <w:rPr>
                          <w:b/>
                        </w:rPr>
                        <w:t>Cap rate</w:t>
                      </w:r>
                    </w:p>
                    <w:p w14:paraId="481A64D2" w14:textId="77D18205" w:rsidR="00483C22" w:rsidRPr="00FE76CC" w:rsidRDefault="00483C22" w:rsidP="008B2C8A">
                      <w:pPr>
                        <w:jc w:val="center"/>
                        <w:rPr>
                          <w:b/>
                        </w:rPr>
                      </w:pPr>
                      <w:r w:rsidRPr="00FE76CC">
                        <w:rPr>
                          <w:b/>
                        </w:rPr>
                        <w:t>up to 25%</w:t>
                      </w:r>
                    </w:p>
                  </w:txbxContent>
                </v:textbox>
              </v:rect>
            </w:pict>
          </mc:Fallback>
        </mc:AlternateContent>
      </w:r>
      <w:r w:rsidR="00201AE1" w:rsidRPr="006D767A">
        <w:rPr>
          <w:b/>
          <w:noProof/>
          <w:lang w:eastAsia="en-GB"/>
        </w:rPr>
        <mc:AlternateContent>
          <mc:Choice Requires="wps">
            <w:drawing>
              <wp:anchor distT="0" distB="0" distL="114300" distR="114300" simplePos="0" relativeHeight="251658243" behindDoc="0" locked="0" layoutInCell="1" allowOverlap="1" wp14:anchorId="5B6C7B38" wp14:editId="387ED9DB">
                <wp:simplePos x="0" y="0"/>
                <wp:positionH relativeFrom="column">
                  <wp:posOffset>2914650</wp:posOffset>
                </wp:positionH>
                <wp:positionV relativeFrom="paragraph">
                  <wp:posOffset>318770</wp:posOffset>
                </wp:positionV>
                <wp:extent cx="19812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DE348" id="Straight Connector 2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9.5pt,25.1pt" to="38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ltwEAAMUDAAAOAAAAZHJzL2Uyb0RvYy54bWysU8GOEzEMvSPxD1HudGYqhJZ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" strokecolor="#d34817 [3204]" strokeweight=".5pt">
                <v:stroke joinstyle="miter"/>
              </v:line>
            </w:pict>
          </mc:Fallback>
        </mc:AlternateContent>
      </w:r>
    </w:p>
    <w:p w14:paraId="1905E4F4" w14:textId="6ECB2A91" w:rsidR="00201AE1" w:rsidRPr="006D767A" w:rsidRDefault="00201AE1" w:rsidP="00201AE1">
      <w:pPr>
        <w:rPr>
          <w:b/>
        </w:rPr>
      </w:pPr>
    </w:p>
    <w:p w14:paraId="122D1533" w14:textId="032CDF6F" w:rsidR="00201AE1" w:rsidRPr="006D767A" w:rsidRDefault="00D9245C" w:rsidP="00201AE1">
      <w:pPr>
        <w:rPr>
          <w:b/>
        </w:rPr>
      </w:pPr>
      <w:r w:rsidRPr="006D767A">
        <w:rPr>
          <w:b/>
          <w:noProof/>
          <w:lang w:eastAsia="en-GB"/>
        </w:rPr>
        <mc:AlternateContent>
          <mc:Choice Requires="wps">
            <w:drawing>
              <wp:anchor distT="0" distB="0" distL="114300" distR="114300" simplePos="0" relativeHeight="251658244" behindDoc="0" locked="0" layoutInCell="1" allowOverlap="1" wp14:anchorId="4187215F" wp14:editId="5FB0F032">
                <wp:simplePos x="0" y="0"/>
                <wp:positionH relativeFrom="column">
                  <wp:posOffset>2990850</wp:posOffset>
                </wp:positionH>
                <wp:positionV relativeFrom="paragraph">
                  <wp:posOffset>54610</wp:posOffset>
                </wp:positionV>
                <wp:extent cx="1495425" cy="9906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1495425" cy="990600"/>
                        </a:xfrm>
                        <a:prstGeom prst="roundRect">
                          <a:avLst/>
                        </a:prstGeom>
                        <a:solidFill>
                          <a:srgbClr val="FFC000"/>
                        </a:solidFill>
                        <a:ln>
                          <a:solidFill>
                            <a:srgbClr val="FFC000"/>
                          </a:solidFill>
                        </a:ln>
                      </wps:spPr>
                      <wps:style>
                        <a:lnRef idx="1">
                          <a:schemeClr val="accent1"/>
                        </a:lnRef>
                        <a:fillRef idx="2">
                          <a:schemeClr val="accent1"/>
                        </a:fillRef>
                        <a:effectRef idx="1">
                          <a:schemeClr val="accent1"/>
                        </a:effectRef>
                        <a:fontRef idx="minor">
                          <a:schemeClr val="dk1"/>
                        </a:fontRef>
                      </wps:style>
                      <wps:txbx>
                        <w:txbxContent>
                          <w:p w14:paraId="41A22025" w14:textId="1EA8A1FC" w:rsidR="00483C22" w:rsidRPr="00D9245C" w:rsidRDefault="00483C22" w:rsidP="00201AE1">
                            <w:pPr>
                              <w:jc w:val="center"/>
                              <w:rPr>
                                <w:b/>
                                <w:sz w:val="20"/>
                                <w:szCs w:val="18"/>
                              </w:rPr>
                            </w:pPr>
                            <w:r w:rsidRPr="00D9245C">
                              <w:rPr>
                                <w:b/>
                                <w:sz w:val="20"/>
                                <w:szCs w:val="18"/>
                              </w:rPr>
                              <w:t>Guarantee by MDB covering 80% of each loan up to the cap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7215F" id="Rectangle: Rounded Corners 23" o:spid="_x0000_s1029" style="position:absolute;margin-left:235.5pt;margin-top:4.3pt;width:117.75pt;height: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" fillcolor="#ffc000" strokecolor="#ffc000" strokeweight=".5pt">
                <v:stroke joinstyle="miter"/>
                <v:textbox>
                  <w:txbxContent>
                    <w:p w14:paraId="41A22025" w14:textId="1EA8A1FC" w:rsidR="00483C22" w:rsidRPr="00D9245C" w:rsidRDefault="00483C22" w:rsidP="00201AE1">
                      <w:pPr>
                        <w:jc w:val="center"/>
                        <w:rPr>
                          <w:b/>
                          <w:sz w:val="20"/>
                          <w:szCs w:val="18"/>
                        </w:rPr>
                      </w:pPr>
                      <w:r w:rsidRPr="00D9245C">
                        <w:rPr>
                          <w:b/>
                          <w:sz w:val="20"/>
                          <w:szCs w:val="18"/>
                        </w:rPr>
                        <w:t>Guarantee by MDB covering 80% of each loan up to the cap rate</w:t>
                      </w:r>
                    </w:p>
                  </w:txbxContent>
                </v:textbox>
              </v:roundrect>
            </w:pict>
          </mc:Fallback>
        </mc:AlternateContent>
      </w:r>
    </w:p>
    <w:p w14:paraId="6693049D" w14:textId="77777777" w:rsidR="00201AE1" w:rsidRPr="006D767A" w:rsidRDefault="00201AE1" w:rsidP="00201AE1">
      <w:pPr>
        <w:rPr>
          <w:b/>
        </w:rPr>
      </w:pPr>
    </w:p>
    <w:p w14:paraId="3124F8FE" w14:textId="77777777" w:rsidR="00201AE1" w:rsidRPr="006D767A" w:rsidRDefault="00201AE1" w:rsidP="00201AE1">
      <w:pPr>
        <w:rPr>
          <w:b/>
        </w:rPr>
      </w:pPr>
    </w:p>
    <w:p w14:paraId="7270E8B6" w14:textId="77777777" w:rsidR="00201AE1" w:rsidRPr="006D767A" w:rsidRDefault="00201AE1" w:rsidP="00201AE1">
      <w:pPr>
        <w:rPr>
          <w:b/>
        </w:rPr>
      </w:pPr>
    </w:p>
    <w:p w14:paraId="709C700C" w14:textId="77777777" w:rsidR="00201AE1" w:rsidRPr="006D767A" w:rsidRDefault="00201AE1" w:rsidP="00201AE1">
      <w:pPr>
        <w:rPr>
          <w:b/>
        </w:rPr>
      </w:pPr>
    </w:p>
    <w:p w14:paraId="3C8365C9" w14:textId="77777777" w:rsidR="00201AE1" w:rsidRPr="006D767A" w:rsidRDefault="00201AE1" w:rsidP="00201AE1">
      <w:pPr>
        <w:rPr>
          <w:b/>
        </w:rPr>
      </w:pPr>
    </w:p>
    <w:p w14:paraId="17E49961" w14:textId="77777777" w:rsidR="00201AE1" w:rsidRPr="006D767A" w:rsidRDefault="00EF2438" w:rsidP="00201AE1">
      <w:pPr>
        <w:rPr>
          <w:b/>
        </w:rPr>
      </w:pPr>
      <w:r w:rsidRPr="006D767A">
        <w:rPr>
          <w:b/>
          <w:noProof/>
          <w:lang w:eastAsia="en-GB"/>
        </w:rPr>
        <mc:AlternateContent>
          <mc:Choice Requires="wps">
            <w:drawing>
              <wp:anchor distT="0" distB="0" distL="114300" distR="114300" simplePos="0" relativeHeight="251658246" behindDoc="0" locked="0" layoutInCell="1" allowOverlap="1" wp14:anchorId="4BB45782" wp14:editId="2055E3A3">
                <wp:simplePos x="0" y="0"/>
                <wp:positionH relativeFrom="column">
                  <wp:posOffset>2895600</wp:posOffset>
                </wp:positionH>
                <wp:positionV relativeFrom="paragraph">
                  <wp:posOffset>106045</wp:posOffset>
                </wp:positionV>
                <wp:extent cx="1590675" cy="1200150"/>
                <wp:effectExtent l="0" t="0" r="9525" b="0"/>
                <wp:wrapNone/>
                <wp:docPr id="22" name="Arrow: Up 22"/>
                <wp:cNvGraphicFramePr/>
                <a:graphic xmlns:a="http://schemas.openxmlformats.org/drawingml/2006/main">
                  <a:graphicData uri="http://schemas.microsoft.com/office/word/2010/wordprocessingShape">
                    <wps:wsp>
                      <wps:cNvSpPr/>
                      <wps:spPr>
                        <a:xfrm>
                          <a:off x="0" y="0"/>
                          <a:ext cx="1590675" cy="1200150"/>
                        </a:xfrm>
                        <a:prstGeom prst="upArrow">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txbx>
                        <w:txbxContent>
                          <w:p w14:paraId="45CC2B89" w14:textId="671059A3" w:rsidR="00483C22" w:rsidRPr="00D9245C" w:rsidRDefault="00483C22" w:rsidP="00201AE1">
                            <w:pPr>
                              <w:jc w:val="center"/>
                              <w:rPr>
                                <w:b/>
                              </w:rPr>
                            </w:pPr>
                            <w:r w:rsidRPr="00D9245C">
                              <w:rPr>
                                <w:b/>
                              </w:rPr>
                              <w:t>EUR 1.1m from ESF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457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30" type="#_x0000_t68" style="position:absolute;margin-left:228pt;margin-top:8.35pt;width:125.25pt;height:9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" adj="10800" fillcolor="#d8d8d8 [2732]" stroked="f" strokeweight="1pt">
                <v:textbox>
                  <w:txbxContent>
                    <w:p w14:paraId="45CC2B89" w14:textId="671059A3" w:rsidR="00483C22" w:rsidRPr="00D9245C" w:rsidRDefault="00483C22" w:rsidP="00201AE1">
                      <w:pPr>
                        <w:jc w:val="center"/>
                        <w:rPr>
                          <w:b/>
                        </w:rPr>
                      </w:pPr>
                      <w:r w:rsidRPr="00D9245C">
                        <w:rPr>
                          <w:b/>
                        </w:rPr>
                        <w:t>EUR 1.1m from ESF</w:t>
                      </w:r>
                    </w:p>
                  </w:txbxContent>
                </v:textbox>
              </v:shape>
            </w:pict>
          </mc:Fallback>
        </mc:AlternateContent>
      </w:r>
    </w:p>
    <w:p w14:paraId="37DCCB0C" w14:textId="77777777" w:rsidR="00201AE1" w:rsidRPr="006D767A" w:rsidRDefault="00201AE1" w:rsidP="00201AE1">
      <w:pPr>
        <w:rPr>
          <w:b/>
        </w:rPr>
      </w:pPr>
    </w:p>
    <w:p w14:paraId="2C6656AA" w14:textId="77777777" w:rsidR="00201AE1" w:rsidRPr="006D767A" w:rsidRDefault="00201AE1" w:rsidP="00201AE1">
      <w:pPr>
        <w:rPr>
          <w:b/>
        </w:rPr>
      </w:pPr>
    </w:p>
    <w:p w14:paraId="6D178049" w14:textId="77777777" w:rsidR="00201AE1" w:rsidRPr="006D767A" w:rsidRDefault="00201AE1" w:rsidP="00201AE1">
      <w:pPr>
        <w:rPr>
          <w:b/>
        </w:rPr>
      </w:pPr>
    </w:p>
    <w:p w14:paraId="39A16A21" w14:textId="77777777" w:rsidR="00201AE1" w:rsidRPr="006D767A" w:rsidRDefault="00201AE1" w:rsidP="00201AE1">
      <w:pPr>
        <w:rPr>
          <w:b/>
        </w:rPr>
      </w:pPr>
    </w:p>
    <w:p w14:paraId="71EF33AA" w14:textId="77777777" w:rsidR="00A739C1" w:rsidRDefault="00A739C1" w:rsidP="00100511">
      <w:pPr>
        <w:ind w:left="360"/>
        <w:jc w:val="both"/>
        <w:rPr>
          <w:b/>
        </w:rPr>
      </w:pPr>
    </w:p>
    <w:bookmarkEnd w:id="3"/>
    <w:p w14:paraId="451F7727" w14:textId="77777777" w:rsidR="00A739C1" w:rsidRDefault="00A739C1" w:rsidP="00100511">
      <w:pPr>
        <w:ind w:left="360"/>
        <w:jc w:val="both"/>
        <w:rPr>
          <w:b/>
        </w:rPr>
      </w:pPr>
    </w:p>
    <w:p w14:paraId="7E3580FE" w14:textId="77777777" w:rsidR="00A739C1" w:rsidRDefault="00A739C1" w:rsidP="00100511">
      <w:pPr>
        <w:ind w:left="360"/>
        <w:jc w:val="both"/>
        <w:rPr>
          <w:b/>
        </w:rPr>
      </w:pPr>
    </w:p>
    <w:p w14:paraId="2773B6BE" w14:textId="654CC6BB" w:rsidR="00A739C1" w:rsidRDefault="00A739C1" w:rsidP="00100511">
      <w:pPr>
        <w:ind w:left="360"/>
        <w:jc w:val="both"/>
        <w:rPr>
          <w:b/>
        </w:rPr>
      </w:pPr>
    </w:p>
    <w:p w14:paraId="2060187F" w14:textId="77777777" w:rsidR="00103BA2" w:rsidRDefault="00103BA2" w:rsidP="001C44F5">
      <w:pPr>
        <w:jc w:val="both"/>
        <w:rPr>
          <w:b/>
        </w:rPr>
      </w:pPr>
    </w:p>
    <w:p w14:paraId="00714657" w14:textId="65A28921" w:rsidR="00201AE1" w:rsidRPr="006D767A" w:rsidRDefault="00201AE1" w:rsidP="004A7A48">
      <w:pPr>
        <w:spacing w:after="120"/>
        <w:ind w:left="357"/>
        <w:jc w:val="both"/>
        <w:rPr>
          <w:b/>
        </w:rPr>
      </w:pPr>
      <w:r w:rsidRPr="006D767A">
        <w:rPr>
          <w:b/>
        </w:rPr>
        <w:t xml:space="preserve">Part II: </w:t>
      </w:r>
      <w:r w:rsidR="003D0E75">
        <w:rPr>
          <w:b/>
        </w:rPr>
        <w:t>Interest Rate Subsidy</w:t>
      </w:r>
    </w:p>
    <w:p w14:paraId="0CC87DC8" w14:textId="5CD882DC" w:rsidR="00E46DBC" w:rsidRDefault="00A739C1" w:rsidP="004C22E1">
      <w:pPr>
        <w:pStyle w:val="ListParagraph"/>
        <w:jc w:val="both"/>
      </w:pPr>
      <w:r>
        <w:t xml:space="preserve">In addition to gaining </w:t>
      </w:r>
      <w:r w:rsidR="00CE5631">
        <w:t>enhanced access to bank credit</w:t>
      </w:r>
      <w:r>
        <w:t xml:space="preserve">, the </w:t>
      </w:r>
      <w:r w:rsidR="00CE5631">
        <w:t xml:space="preserve">Eligible </w:t>
      </w:r>
      <w:r>
        <w:t xml:space="preserve">Student shall benefit from an Interest Rate Subsidy </w:t>
      </w:r>
      <w:r w:rsidR="004C22E1">
        <w:t>during the moratorium period</w:t>
      </w:r>
      <w:r>
        <w:t>.</w:t>
      </w:r>
      <w:r w:rsidR="00CE5631">
        <w:t xml:space="preserve"> </w:t>
      </w:r>
      <w:r w:rsidR="00E46DBC" w:rsidRPr="006D767A">
        <w:t xml:space="preserve">The interest element during the moratorium period of each </w:t>
      </w:r>
      <w:r w:rsidR="003D0E75">
        <w:t>E</w:t>
      </w:r>
      <w:r w:rsidR="00E46DBC" w:rsidRPr="006D767A">
        <w:t xml:space="preserve">ligible </w:t>
      </w:r>
      <w:r w:rsidR="003D0E75">
        <w:t>L</w:t>
      </w:r>
      <w:r w:rsidR="00E46DBC" w:rsidRPr="006D767A">
        <w:t xml:space="preserve">oan will be </w:t>
      </w:r>
      <w:r w:rsidR="00DB7D36">
        <w:t xml:space="preserve">fully </w:t>
      </w:r>
      <w:r w:rsidR="00D67AE2">
        <w:t>financed by</w:t>
      </w:r>
      <w:r w:rsidR="00E46DBC" w:rsidRPr="006D767A">
        <w:t xml:space="preserve"> the </w:t>
      </w:r>
      <w:r w:rsidR="00DB7D36">
        <w:t xml:space="preserve">Interest Rate Subsidy </w:t>
      </w:r>
      <w:r w:rsidR="00CF0ED6">
        <w:t xml:space="preserve">provided </w:t>
      </w:r>
      <w:r w:rsidR="00AF145F">
        <w:t>by the FI</w:t>
      </w:r>
      <w:r w:rsidR="00B14F4C" w:rsidRPr="7E6F53F5">
        <w:t>.</w:t>
      </w:r>
      <w:r w:rsidR="00E46DBC" w:rsidRPr="006D767A">
        <w:t xml:space="preserve"> The interest is to be charged </w:t>
      </w:r>
      <w:r w:rsidR="00387E7D">
        <w:t xml:space="preserve">by the </w:t>
      </w:r>
      <w:r w:rsidR="00DE42C3">
        <w:t>F</w:t>
      </w:r>
      <w:r w:rsidR="0C92979C">
        <w:t>i</w:t>
      </w:r>
      <w:r w:rsidR="7E6F53F5">
        <w:t>nancial Institution</w:t>
      </w:r>
      <w:r w:rsidR="00912D5A">
        <w:t>/s</w:t>
      </w:r>
      <w:r w:rsidR="00387E7D" w:rsidRPr="7E6F53F5">
        <w:t xml:space="preserve"> </w:t>
      </w:r>
      <w:r w:rsidR="00E46DBC" w:rsidRPr="006D767A">
        <w:t xml:space="preserve">to the loan account </w:t>
      </w:r>
      <w:proofErr w:type="gramStart"/>
      <w:r w:rsidR="00E46DBC" w:rsidRPr="006D767A">
        <w:t>on a monthly basis</w:t>
      </w:r>
      <w:proofErr w:type="gramEnd"/>
      <w:r w:rsidR="00E46DBC" w:rsidRPr="7E6F53F5">
        <w:t>.</w:t>
      </w:r>
      <w:r w:rsidR="00387E7D" w:rsidRPr="7E6F53F5">
        <w:t xml:space="preserve"> </w:t>
      </w:r>
      <w:r w:rsidR="0047596F">
        <w:t xml:space="preserve">The Interest Rate Subsidy shall be paid by the MDB to the selected </w:t>
      </w:r>
      <w:r w:rsidR="00DE42C3">
        <w:t>F</w:t>
      </w:r>
      <w:r w:rsidR="7E6F53F5">
        <w:t>inancial Institution/s</w:t>
      </w:r>
      <w:r w:rsidR="0047596F" w:rsidRPr="7E6F53F5">
        <w:t xml:space="preserve"> </w:t>
      </w:r>
      <w:r w:rsidR="0002549D">
        <w:t>in accordance with the terms</w:t>
      </w:r>
      <w:r w:rsidR="00AC2C7C">
        <w:t xml:space="preserve"> specified in the </w:t>
      </w:r>
      <w:r w:rsidR="0002549D" w:rsidRPr="00A33134">
        <w:t>Operational Agreement</w:t>
      </w:r>
      <w:r w:rsidR="00AC2C7C" w:rsidRPr="7E6F53F5">
        <w:t>.</w:t>
      </w:r>
    </w:p>
    <w:p w14:paraId="2DA27923" w14:textId="4D0DF20E" w:rsidR="005262CD" w:rsidRDefault="005262CD" w:rsidP="00100511">
      <w:pPr>
        <w:pStyle w:val="ListParagraph"/>
        <w:jc w:val="both"/>
      </w:pPr>
    </w:p>
    <w:p w14:paraId="2B0BE1B9" w14:textId="7BD39E1B" w:rsidR="005262CD" w:rsidRPr="006D767A" w:rsidRDefault="005262CD" w:rsidP="00100511">
      <w:pPr>
        <w:pStyle w:val="ListParagraph"/>
        <w:jc w:val="both"/>
      </w:pPr>
      <w:r>
        <w:t xml:space="preserve">The maximum term of capital moratorium should cover the term of the course plus an </w:t>
      </w:r>
      <w:r w:rsidR="00FC1B9F">
        <w:t>additional twelve</w:t>
      </w:r>
      <w:r>
        <w:t xml:space="preserve"> (12) months, subject to a maximum moratorium period of five (5) years</w:t>
      </w:r>
      <w:r w:rsidR="00FC1B9F">
        <w:t>.</w:t>
      </w:r>
    </w:p>
    <w:p w14:paraId="028E1E94" w14:textId="37BFCC85" w:rsidR="00E46DBC" w:rsidRDefault="00E46DBC" w:rsidP="00100511">
      <w:pPr>
        <w:pStyle w:val="ListParagraph"/>
        <w:jc w:val="both"/>
      </w:pPr>
    </w:p>
    <w:p w14:paraId="6875B8E2" w14:textId="262DE7D4" w:rsidR="009B0C93" w:rsidRDefault="009B0C93" w:rsidP="004A7A48">
      <w:pPr>
        <w:spacing w:after="120"/>
        <w:jc w:val="both"/>
        <w:rPr>
          <w:b/>
        </w:rPr>
      </w:pPr>
      <w:r>
        <w:rPr>
          <w:b/>
        </w:rPr>
        <w:t>Part III: General features of the FI</w:t>
      </w:r>
    </w:p>
    <w:p w14:paraId="189E6507" w14:textId="72545929" w:rsidR="00702D26" w:rsidRDefault="00702D26" w:rsidP="00823B52">
      <w:pPr>
        <w:jc w:val="both"/>
      </w:pPr>
      <w:r w:rsidRPr="001C44F5">
        <w:t>The</w:t>
      </w:r>
      <w:r>
        <w:t xml:space="preserve"> general </w:t>
      </w:r>
      <w:r w:rsidR="000C1348">
        <w:t>characteristics of the FI are summarised below</w:t>
      </w:r>
      <w:r w:rsidR="001C44F5">
        <w:t>:</w:t>
      </w:r>
    </w:p>
    <w:p w14:paraId="5E3D8872" w14:textId="77777777" w:rsidR="001C44F5" w:rsidRDefault="001C44F5" w:rsidP="00823B52">
      <w:pPr>
        <w:jc w:val="both"/>
      </w:pPr>
    </w:p>
    <w:p w14:paraId="16DB2478" w14:textId="5013D81A" w:rsidR="000C1348" w:rsidRDefault="001C44F5" w:rsidP="00D90932">
      <w:pPr>
        <w:pStyle w:val="ListParagraph"/>
        <w:numPr>
          <w:ilvl w:val="0"/>
          <w:numId w:val="35"/>
        </w:numPr>
        <w:spacing w:after="120"/>
        <w:ind w:left="714" w:hanging="357"/>
        <w:contextualSpacing w:val="0"/>
        <w:jc w:val="both"/>
      </w:pPr>
      <w:r w:rsidRPr="006D767A">
        <w:t xml:space="preserve">Portfolio Guarantee of </w:t>
      </w:r>
      <w:r w:rsidR="004C22E1">
        <w:t xml:space="preserve">up to </w:t>
      </w:r>
      <w:r w:rsidRPr="006D767A">
        <w:t>E</w:t>
      </w:r>
      <w:r>
        <w:t xml:space="preserve">UR </w:t>
      </w:r>
      <w:r w:rsidRPr="006D767A">
        <w:t>1.1</w:t>
      </w:r>
      <w:r w:rsidR="004442D9">
        <w:t xml:space="preserve"> </w:t>
      </w:r>
      <w:r w:rsidRPr="006D767A">
        <w:t>m</w:t>
      </w:r>
      <w:r>
        <w:t>illion</w:t>
      </w:r>
      <w:r w:rsidRPr="006D767A">
        <w:t xml:space="preserve"> covering 80% of each </w:t>
      </w:r>
      <w:r w:rsidR="004C22E1">
        <w:t>Eligible L</w:t>
      </w:r>
      <w:r w:rsidR="004C22E1" w:rsidRPr="006D767A">
        <w:t xml:space="preserve">oan </w:t>
      </w:r>
      <w:r w:rsidRPr="006D767A">
        <w:t>with a cap rate of 25%.</w:t>
      </w:r>
      <w:r w:rsidRPr="001C44F5">
        <w:t xml:space="preserve"> </w:t>
      </w:r>
      <w:r w:rsidRPr="006D767A">
        <w:t xml:space="preserve">Expected volume of </w:t>
      </w:r>
      <w:r>
        <w:t xml:space="preserve">total </w:t>
      </w:r>
      <w:r w:rsidR="004C22E1">
        <w:t>Eligible L</w:t>
      </w:r>
      <w:r w:rsidR="004C22E1" w:rsidRPr="006D767A">
        <w:t>oans</w:t>
      </w:r>
      <w:r w:rsidR="004C22E1">
        <w:t xml:space="preserve"> </w:t>
      </w:r>
      <w:r>
        <w:t>generated under the FI</w:t>
      </w:r>
      <w:r w:rsidRPr="006D767A">
        <w:t>: E</w:t>
      </w:r>
      <w:r>
        <w:t xml:space="preserve">UR </w:t>
      </w:r>
      <w:r w:rsidRPr="006D767A">
        <w:t>5.</w:t>
      </w:r>
      <w:r w:rsidR="00664D86">
        <w:t>5</w:t>
      </w:r>
      <w:r w:rsidR="006F7458">
        <w:t xml:space="preserve"> </w:t>
      </w:r>
      <w:r w:rsidRPr="006D767A">
        <w:t>m</w:t>
      </w:r>
      <w:r>
        <w:t>illion</w:t>
      </w:r>
    </w:p>
    <w:p w14:paraId="47A0AE36" w14:textId="7B39D9D1" w:rsidR="001C44F5" w:rsidRDefault="001C44F5" w:rsidP="00D90932">
      <w:pPr>
        <w:pStyle w:val="ListParagraph"/>
        <w:numPr>
          <w:ilvl w:val="0"/>
          <w:numId w:val="35"/>
        </w:numPr>
        <w:spacing w:after="120"/>
        <w:ind w:left="714" w:hanging="357"/>
        <w:contextualSpacing w:val="0"/>
        <w:jc w:val="both"/>
      </w:pPr>
      <w:r>
        <w:t xml:space="preserve">Full </w:t>
      </w:r>
      <w:r w:rsidR="00201ACF">
        <w:t>I</w:t>
      </w:r>
      <w:r>
        <w:t xml:space="preserve">nterest </w:t>
      </w:r>
      <w:r w:rsidR="00201ACF">
        <w:t>R</w:t>
      </w:r>
      <w:r>
        <w:t xml:space="preserve">ate </w:t>
      </w:r>
      <w:r w:rsidR="00201ACF">
        <w:t>S</w:t>
      </w:r>
      <w:r>
        <w:t>ubsidy</w:t>
      </w:r>
      <w:r w:rsidRPr="006D767A">
        <w:t xml:space="preserve"> during moratorium on </w:t>
      </w:r>
      <w:r w:rsidR="00201ACF">
        <w:t>E</w:t>
      </w:r>
      <w:r>
        <w:t xml:space="preserve">ligible </w:t>
      </w:r>
      <w:r w:rsidR="00201ACF">
        <w:t>L</w:t>
      </w:r>
      <w:r w:rsidRPr="006D767A">
        <w:t>oans</w:t>
      </w:r>
    </w:p>
    <w:p w14:paraId="3E3278C3" w14:textId="5D106EDB" w:rsidR="001C44F5" w:rsidRDefault="001C44F5" w:rsidP="00D90932">
      <w:pPr>
        <w:pStyle w:val="ListParagraph"/>
        <w:numPr>
          <w:ilvl w:val="0"/>
          <w:numId w:val="35"/>
        </w:numPr>
        <w:spacing w:after="120"/>
        <w:ind w:left="714" w:hanging="357"/>
        <w:contextualSpacing w:val="0"/>
        <w:jc w:val="both"/>
      </w:pPr>
      <w:r w:rsidRPr="006D767A">
        <w:t xml:space="preserve">Maximum moratorium term </w:t>
      </w:r>
      <w:r>
        <w:t>is</w:t>
      </w:r>
      <w:r w:rsidRPr="006D767A">
        <w:t xml:space="preserve"> </w:t>
      </w:r>
      <w:r w:rsidR="005C4541">
        <w:t>five (</w:t>
      </w:r>
      <w:r w:rsidRPr="006D767A">
        <w:t>5</w:t>
      </w:r>
      <w:r w:rsidR="005C4541">
        <w:t xml:space="preserve">) </w:t>
      </w:r>
      <w:r w:rsidRPr="006D767A">
        <w:t xml:space="preserve">years </w:t>
      </w:r>
      <w:r>
        <w:t xml:space="preserve">covering the </w:t>
      </w:r>
      <w:r w:rsidRPr="006D767A">
        <w:t xml:space="preserve">course term </w:t>
      </w:r>
      <w:r>
        <w:t xml:space="preserve">plus </w:t>
      </w:r>
      <w:r w:rsidR="005C4541">
        <w:t>one (1) year.</w:t>
      </w:r>
    </w:p>
    <w:p w14:paraId="79E8A828" w14:textId="18A2BB91" w:rsidR="00704913" w:rsidRDefault="00704913" w:rsidP="00D90932">
      <w:pPr>
        <w:pStyle w:val="ListParagraph"/>
        <w:numPr>
          <w:ilvl w:val="0"/>
          <w:numId w:val="35"/>
        </w:numPr>
        <w:spacing w:after="120"/>
        <w:ind w:left="714" w:hanging="357"/>
        <w:contextualSpacing w:val="0"/>
        <w:jc w:val="both"/>
      </w:pPr>
      <w:r>
        <w:t>Minimum loan term is moratorium period plus two times the course period for capital and interest repayments.</w:t>
      </w:r>
    </w:p>
    <w:p w14:paraId="0326C45D" w14:textId="04FADBF0" w:rsidR="006F2D3B" w:rsidRDefault="00936EF5" w:rsidP="00D90932">
      <w:pPr>
        <w:pStyle w:val="ListParagraph"/>
        <w:numPr>
          <w:ilvl w:val="0"/>
          <w:numId w:val="35"/>
        </w:numPr>
        <w:spacing w:after="120"/>
        <w:ind w:left="714" w:hanging="357"/>
        <w:contextualSpacing w:val="0"/>
        <w:jc w:val="both"/>
      </w:pPr>
      <w:r>
        <w:t>M</w:t>
      </w:r>
      <w:r w:rsidR="006F2D3B">
        <w:t xml:space="preserve">aximum term of the loan </w:t>
      </w:r>
      <w:r w:rsidR="005C4541">
        <w:t>is of</w:t>
      </w:r>
      <w:r w:rsidR="006F2D3B">
        <w:t xml:space="preserve"> fifteen (15) years from the first disbursement by the Financial Institution</w:t>
      </w:r>
      <w:r w:rsidR="00912D5A">
        <w:t>/s</w:t>
      </w:r>
      <w:r w:rsidR="006F2D3B">
        <w:t xml:space="preserve"> of the loan funds to the Eligible Student</w:t>
      </w:r>
      <w:r w:rsidR="00EB0FA6">
        <w:t>,</w:t>
      </w:r>
      <w:r w:rsidR="006F2D3B">
        <w:t xml:space="preserve"> covering the full moratorium period </w:t>
      </w:r>
      <w:r w:rsidR="00EB0FA6">
        <w:t xml:space="preserve">of </w:t>
      </w:r>
      <w:r w:rsidR="006F2D3B">
        <w:t>up to a maximum of five (5) years and the loan repayment period of up to a maximum of ten (10) years following the moratorium period.</w:t>
      </w:r>
    </w:p>
    <w:p w14:paraId="06FE752C" w14:textId="77777777" w:rsidR="00FD38A4" w:rsidRPr="001C44F5" w:rsidRDefault="00FD38A4" w:rsidP="00BD63EA">
      <w:pPr>
        <w:pStyle w:val="ListParagraph"/>
        <w:jc w:val="both"/>
      </w:pPr>
    </w:p>
    <w:p w14:paraId="50BA2AD1" w14:textId="76D327C3" w:rsidR="00A33134" w:rsidRDefault="00F86B25" w:rsidP="00A33134">
      <w:pPr>
        <w:ind w:left="284"/>
        <w:jc w:val="both"/>
        <w:rPr>
          <w:b/>
        </w:rPr>
      </w:pPr>
      <w:r w:rsidRPr="001C44F5">
        <w:t xml:space="preserve">The full </w:t>
      </w:r>
      <w:r w:rsidRPr="00A33134">
        <w:t xml:space="preserve">details </w:t>
      </w:r>
      <w:r w:rsidR="00E33E9A" w:rsidRPr="00A33134">
        <w:t xml:space="preserve">on the general conditions of the FI are listed in </w:t>
      </w:r>
      <w:r w:rsidR="00A33134">
        <w:rPr>
          <w:b/>
        </w:rPr>
        <w:t>Part VI</w:t>
      </w:r>
      <w:r w:rsidR="00F13BE4">
        <w:rPr>
          <w:b/>
        </w:rPr>
        <w:t>I</w:t>
      </w:r>
      <w:r w:rsidR="00A33134">
        <w:rPr>
          <w:b/>
        </w:rPr>
        <w:t xml:space="preserve">I: </w:t>
      </w:r>
      <w:r w:rsidR="00A33134" w:rsidRPr="002F399D">
        <w:rPr>
          <w:b/>
        </w:rPr>
        <w:t>Operational provisions</w:t>
      </w:r>
    </w:p>
    <w:p w14:paraId="455337D8" w14:textId="2440CF7F" w:rsidR="009B0C93" w:rsidRPr="001C44F5" w:rsidRDefault="009B0C93" w:rsidP="00823B52">
      <w:pPr>
        <w:jc w:val="both"/>
      </w:pPr>
    </w:p>
    <w:p w14:paraId="66283769" w14:textId="77777777" w:rsidR="00E33E9A" w:rsidRDefault="00E33E9A" w:rsidP="00823B52">
      <w:pPr>
        <w:jc w:val="both"/>
        <w:rPr>
          <w:b/>
        </w:rPr>
      </w:pPr>
    </w:p>
    <w:p w14:paraId="0A6354B0" w14:textId="5CCFB125" w:rsidR="00A603FB" w:rsidRPr="001C44F5" w:rsidRDefault="00A603FB" w:rsidP="004A7A48">
      <w:pPr>
        <w:spacing w:after="120"/>
        <w:jc w:val="both"/>
        <w:rPr>
          <w:b/>
        </w:rPr>
      </w:pPr>
      <w:r w:rsidRPr="001C44F5">
        <w:rPr>
          <w:b/>
        </w:rPr>
        <w:t>Part I</w:t>
      </w:r>
      <w:r w:rsidR="00E33E9A">
        <w:rPr>
          <w:b/>
        </w:rPr>
        <w:t>V</w:t>
      </w:r>
      <w:r w:rsidRPr="001C44F5">
        <w:rPr>
          <w:b/>
        </w:rPr>
        <w:t xml:space="preserve">: Size of the </w:t>
      </w:r>
      <w:r w:rsidR="0013337E" w:rsidRPr="001C44F5">
        <w:rPr>
          <w:b/>
        </w:rPr>
        <w:t>ESF allotted to the FI</w:t>
      </w:r>
    </w:p>
    <w:p w14:paraId="7958AC13" w14:textId="0A138217" w:rsidR="008606D6" w:rsidRDefault="00823B52" w:rsidP="00985B2B">
      <w:pPr>
        <w:jc w:val="both"/>
      </w:pPr>
      <w:r w:rsidRPr="006D767A">
        <w:t xml:space="preserve">The initial fund allocated </w:t>
      </w:r>
      <w:r w:rsidR="006567C6">
        <w:t>by the M</w:t>
      </w:r>
      <w:r w:rsidR="00F44B60">
        <w:t xml:space="preserve">A </w:t>
      </w:r>
      <w:r w:rsidRPr="006D767A">
        <w:t xml:space="preserve">to </w:t>
      </w:r>
      <w:r w:rsidR="00F44B60">
        <w:t xml:space="preserve">this </w:t>
      </w:r>
      <w:r w:rsidR="009542C8">
        <w:t>FI</w:t>
      </w:r>
      <w:r w:rsidRPr="006D767A">
        <w:t xml:space="preserve"> </w:t>
      </w:r>
      <w:r w:rsidR="00F44B60">
        <w:t xml:space="preserve">is set at </w:t>
      </w:r>
      <w:r w:rsidR="00952DD7">
        <w:t xml:space="preserve">an amount of up to </w:t>
      </w:r>
      <w:r w:rsidR="00787ABD">
        <w:t xml:space="preserve">EUR </w:t>
      </w:r>
      <w:r w:rsidR="00D36FD2">
        <w:t>2 millio</w:t>
      </w:r>
      <w:r w:rsidR="00A31451">
        <w:t>n</w:t>
      </w:r>
      <w:r w:rsidR="005567B8">
        <w:t xml:space="preserve"> which is sourced from the ESF</w:t>
      </w:r>
      <w:r w:rsidR="00023B43">
        <w:t xml:space="preserve">. </w:t>
      </w:r>
      <w:r w:rsidR="008606D6">
        <w:t xml:space="preserve"> Of this amount, </w:t>
      </w:r>
      <w:r w:rsidR="00787ABD">
        <w:t>EUR</w:t>
      </w:r>
      <w:r w:rsidR="008606D6">
        <w:t xml:space="preserve"> </w:t>
      </w:r>
      <w:r w:rsidR="008606D6" w:rsidRPr="006D767A">
        <w:t>1.1</w:t>
      </w:r>
      <w:r w:rsidR="00A00EF9">
        <w:t xml:space="preserve"> </w:t>
      </w:r>
      <w:r w:rsidR="008606D6" w:rsidRPr="006D767A">
        <w:t>m</w:t>
      </w:r>
      <w:r w:rsidR="008606D6">
        <w:t xml:space="preserve">illion </w:t>
      </w:r>
      <w:r w:rsidR="009C13BF">
        <w:t>will be allotted to</w:t>
      </w:r>
      <w:r w:rsidR="008606D6" w:rsidRPr="006D767A">
        <w:t xml:space="preserve"> the</w:t>
      </w:r>
      <w:r w:rsidR="008606D6">
        <w:t xml:space="preserve"> </w:t>
      </w:r>
      <w:r w:rsidR="008606D6" w:rsidRPr="006D767A">
        <w:t xml:space="preserve">Guarantee and </w:t>
      </w:r>
      <w:r w:rsidR="00787ABD">
        <w:t>EUR</w:t>
      </w:r>
      <w:r w:rsidR="00787ABD" w:rsidRPr="006D767A">
        <w:t xml:space="preserve"> </w:t>
      </w:r>
      <w:r w:rsidR="008606D6" w:rsidRPr="006D767A">
        <w:t>900</w:t>
      </w:r>
      <w:r w:rsidR="008606D6">
        <w:t>,000</w:t>
      </w:r>
      <w:r w:rsidR="008606D6" w:rsidRPr="006D767A">
        <w:t xml:space="preserve"> </w:t>
      </w:r>
      <w:r w:rsidR="009C13BF">
        <w:t>to the</w:t>
      </w:r>
      <w:r w:rsidR="008606D6" w:rsidRPr="006D767A">
        <w:t xml:space="preserve"> </w:t>
      </w:r>
      <w:r w:rsidR="00EF4087">
        <w:t>I</w:t>
      </w:r>
      <w:r w:rsidR="008606D6">
        <w:t xml:space="preserve">nterest </w:t>
      </w:r>
      <w:r w:rsidR="00EF4087">
        <w:t>R</w:t>
      </w:r>
      <w:r w:rsidR="008606D6">
        <w:t xml:space="preserve">ate </w:t>
      </w:r>
      <w:r w:rsidR="00EF4087">
        <w:t>S</w:t>
      </w:r>
      <w:r w:rsidR="008606D6">
        <w:t>ubsidy</w:t>
      </w:r>
      <w:r w:rsidR="009C13BF">
        <w:t xml:space="preserve"> element</w:t>
      </w:r>
      <w:r w:rsidR="008606D6" w:rsidRPr="006D767A">
        <w:t>.</w:t>
      </w:r>
    </w:p>
    <w:p w14:paraId="051A9340" w14:textId="77777777" w:rsidR="00985B2B" w:rsidRPr="006D767A" w:rsidRDefault="00985B2B" w:rsidP="001C44F5">
      <w:pPr>
        <w:jc w:val="both"/>
      </w:pPr>
    </w:p>
    <w:p w14:paraId="0AD890D1" w14:textId="78488F7B" w:rsidR="00823B52" w:rsidRDefault="00FC1B9F" w:rsidP="00823B52">
      <w:pPr>
        <w:jc w:val="both"/>
      </w:pPr>
      <w:r>
        <w:t>The FI fund</w:t>
      </w:r>
      <w:r w:rsidR="00023B43">
        <w:t xml:space="preserve"> </w:t>
      </w:r>
      <w:r w:rsidR="00823B52" w:rsidRPr="006D767A">
        <w:t xml:space="preserve">may be </w:t>
      </w:r>
      <w:r w:rsidR="00BA5D8A">
        <w:t xml:space="preserve">subsequently </w:t>
      </w:r>
      <w:r w:rsidR="00823B52" w:rsidRPr="006D767A">
        <w:t>increased as necessary</w:t>
      </w:r>
      <w:r>
        <w:t xml:space="preserve"> to a maximum of EUR 3 million</w:t>
      </w:r>
      <w:r w:rsidR="00AB4CBF">
        <w:t>.</w:t>
      </w:r>
      <w:r>
        <w:t xml:space="preserve"> The allotment of the additional funding will </w:t>
      </w:r>
      <w:r w:rsidR="00AB4CBF">
        <w:t>be at the discretion of the MDB</w:t>
      </w:r>
      <w:r w:rsidR="008E6B6D">
        <w:t>.</w:t>
      </w:r>
    </w:p>
    <w:p w14:paraId="05E1FE62" w14:textId="77777777" w:rsidR="00637F68" w:rsidRPr="006D767A" w:rsidRDefault="00637F68" w:rsidP="00823B52">
      <w:pPr>
        <w:jc w:val="both"/>
      </w:pPr>
    </w:p>
    <w:p w14:paraId="7D732764" w14:textId="77777777" w:rsidR="00375489" w:rsidRDefault="00375489" w:rsidP="001C44F5">
      <w:pPr>
        <w:jc w:val="both"/>
        <w:rPr>
          <w:b/>
        </w:rPr>
      </w:pPr>
    </w:p>
    <w:p w14:paraId="09CAC3C4" w14:textId="7C810A40" w:rsidR="00F53113" w:rsidRDefault="00FC30AA" w:rsidP="004A7A48">
      <w:pPr>
        <w:spacing w:after="120"/>
        <w:jc w:val="both"/>
        <w:rPr>
          <w:b/>
        </w:rPr>
      </w:pPr>
      <w:r>
        <w:rPr>
          <w:b/>
        </w:rPr>
        <w:t xml:space="preserve">Part </w:t>
      </w:r>
      <w:r w:rsidR="0013337E">
        <w:rPr>
          <w:b/>
        </w:rPr>
        <w:t>V</w:t>
      </w:r>
      <w:r>
        <w:rPr>
          <w:b/>
        </w:rPr>
        <w:t xml:space="preserve">: </w:t>
      </w:r>
      <w:r w:rsidR="00F53113">
        <w:rPr>
          <w:b/>
        </w:rPr>
        <w:t>Potential Applicants and the Role of Selected Financial Institution</w:t>
      </w:r>
      <w:r w:rsidR="00664D86">
        <w:rPr>
          <w:b/>
        </w:rPr>
        <w:t>/s</w:t>
      </w:r>
    </w:p>
    <w:p w14:paraId="3B9C259B" w14:textId="683452E6" w:rsidR="00F53113" w:rsidRPr="00F53113" w:rsidRDefault="00F53113" w:rsidP="00D508AA">
      <w:pPr>
        <w:pStyle w:val="ListParagraph"/>
        <w:numPr>
          <w:ilvl w:val="0"/>
          <w:numId w:val="37"/>
        </w:numPr>
        <w:spacing w:after="120"/>
        <w:ind w:left="426" w:hanging="426"/>
        <w:contextualSpacing w:val="0"/>
        <w:jc w:val="both"/>
      </w:pPr>
      <w:r w:rsidRPr="00F53113">
        <w:t>Potential Applicants are credit institutions that cater mostly for the domestic credit market and have branches in both Malta and Gozo.</w:t>
      </w:r>
      <w:r w:rsidR="00F01217" w:rsidRPr="00F53113">
        <w:t xml:space="preserve"> </w:t>
      </w:r>
    </w:p>
    <w:p w14:paraId="710FA9E5" w14:textId="297260CF" w:rsidR="00F53113" w:rsidRDefault="00F53113" w:rsidP="00D508AA">
      <w:pPr>
        <w:pStyle w:val="ListParagraph"/>
        <w:numPr>
          <w:ilvl w:val="0"/>
          <w:numId w:val="37"/>
        </w:numPr>
        <w:spacing w:after="120"/>
        <w:ind w:left="360"/>
        <w:contextualSpacing w:val="0"/>
        <w:jc w:val="both"/>
      </w:pPr>
      <w:r w:rsidRPr="00F53113">
        <w:t>Role of the selected Financial Institution</w:t>
      </w:r>
      <w:r w:rsidR="00664D86">
        <w:t>/s</w:t>
      </w:r>
      <w:r w:rsidR="00286E8E">
        <w:t xml:space="preserve"> </w:t>
      </w:r>
      <w:r w:rsidR="00104329">
        <w:t>–</w:t>
      </w:r>
      <w:r w:rsidR="00286E8E">
        <w:t xml:space="preserve"> </w:t>
      </w:r>
      <w:r w:rsidR="00104329">
        <w:t>t</w:t>
      </w:r>
      <w:r w:rsidRPr="006D767A">
        <w:t xml:space="preserve">he origination, due diligence, documentation and servicing of the Eligible </w:t>
      </w:r>
      <w:r>
        <w:t>L</w:t>
      </w:r>
      <w:r w:rsidRPr="006D767A">
        <w:t>oans shall be performed by the Financial Institution</w:t>
      </w:r>
      <w:r w:rsidR="00664D86">
        <w:t>/s</w:t>
      </w:r>
      <w:r w:rsidRPr="006D767A">
        <w:t xml:space="preserve"> in accordance with its standard rules and procedures.</w:t>
      </w:r>
    </w:p>
    <w:p w14:paraId="00F5BA72" w14:textId="1480A48A" w:rsidR="00F53113" w:rsidRDefault="00F53113" w:rsidP="00A00EF9">
      <w:pPr>
        <w:pStyle w:val="ListParagraph"/>
        <w:numPr>
          <w:ilvl w:val="0"/>
          <w:numId w:val="37"/>
        </w:numPr>
        <w:spacing w:after="120"/>
        <w:ind w:left="360"/>
        <w:contextualSpacing w:val="0"/>
        <w:jc w:val="both"/>
      </w:pPr>
      <w:r>
        <w:t>T</w:t>
      </w:r>
      <w:r w:rsidRPr="006D767A">
        <w:t xml:space="preserve">he </w:t>
      </w:r>
      <w:r>
        <w:t xml:space="preserve">selected </w:t>
      </w:r>
      <w:r w:rsidRPr="006D767A">
        <w:t>Financial Institution</w:t>
      </w:r>
      <w:r w:rsidR="008D68B8">
        <w:t>/s</w:t>
      </w:r>
      <w:r w:rsidRPr="006D767A">
        <w:t xml:space="preserve"> shall have the sole direct client relationship with the </w:t>
      </w:r>
      <w:r>
        <w:t xml:space="preserve">Eligible </w:t>
      </w:r>
      <w:r w:rsidRPr="006D767A">
        <w:t>Student.</w:t>
      </w:r>
    </w:p>
    <w:p w14:paraId="0BEFE855" w14:textId="0DB0AD0B" w:rsidR="00637F68" w:rsidRDefault="00637F68" w:rsidP="00F53113">
      <w:pPr>
        <w:ind w:left="360"/>
        <w:jc w:val="both"/>
      </w:pPr>
    </w:p>
    <w:p w14:paraId="4DEB4042" w14:textId="4F48C506" w:rsidR="00637F68" w:rsidRDefault="00637F68" w:rsidP="00F53113">
      <w:pPr>
        <w:ind w:left="360"/>
        <w:jc w:val="both"/>
      </w:pPr>
    </w:p>
    <w:p w14:paraId="78FD1FBB" w14:textId="4AE4E6D7" w:rsidR="00C372B4" w:rsidRDefault="00AC2A56" w:rsidP="004E23D1">
      <w:pPr>
        <w:ind w:left="360" w:hanging="360"/>
        <w:jc w:val="both"/>
        <w:rPr>
          <w:b/>
        </w:rPr>
      </w:pPr>
      <w:r>
        <w:rPr>
          <w:b/>
        </w:rPr>
        <w:t xml:space="preserve">Part VI: </w:t>
      </w:r>
      <w:r w:rsidR="004231D3">
        <w:rPr>
          <w:b/>
        </w:rPr>
        <w:t>Call for Service</w:t>
      </w:r>
    </w:p>
    <w:p w14:paraId="1D298A12" w14:textId="77777777" w:rsidR="002D05BF" w:rsidRPr="001C44F5" w:rsidRDefault="002D05BF" w:rsidP="001C44F5">
      <w:pPr>
        <w:ind w:left="360"/>
        <w:jc w:val="both"/>
        <w:rPr>
          <w:b/>
        </w:rPr>
      </w:pPr>
    </w:p>
    <w:p w14:paraId="21B7405F" w14:textId="7E208462" w:rsidR="00C372B4" w:rsidRPr="00FE76CC" w:rsidRDefault="004231D3" w:rsidP="00D90932">
      <w:pPr>
        <w:pStyle w:val="ListParagraph"/>
        <w:numPr>
          <w:ilvl w:val="0"/>
          <w:numId w:val="24"/>
        </w:numPr>
        <w:spacing w:after="120"/>
        <w:ind w:left="641" w:hanging="357"/>
        <w:contextualSpacing w:val="0"/>
        <w:jc w:val="both"/>
        <w:rPr>
          <w:b/>
          <w:i/>
        </w:rPr>
      </w:pPr>
      <w:r w:rsidRPr="00FE76CC">
        <w:rPr>
          <w:b/>
          <w:i/>
        </w:rPr>
        <w:t xml:space="preserve">Call </w:t>
      </w:r>
      <w:r w:rsidR="00FC1B9F" w:rsidRPr="00FE76CC">
        <w:rPr>
          <w:b/>
          <w:i/>
        </w:rPr>
        <w:t>for</w:t>
      </w:r>
      <w:r w:rsidRPr="00FE76CC">
        <w:rPr>
          <w:b/>
          <w:i/>
        </w:rPr>
        <w:t xml:space="preserve"> Service</w:t>
      </w:r>
      <w:r w:rsidR="007806D0" w:rsidRPr="00FE76CC">
        <w:rPr>
          <w:b/>
          <w:i/>
        </w:rPr>
        <w:t xml:space="preserve"> Template</w:t>
      </w:r>
    </w:p>
    <w:p w14:paraId="766A2D57" w14:textId="19416DDD" w:rsidR="0080766A" w:rsidRPr="00FE76CC" w:rsidRDefault="00286E8E" w:rsidP="00100511">
      <w:pPr>
        <w:jc w:val="both"/>
      </w:pPr>
      <w:r>
        <w:t>A copy of</w:t>
      </w:r>
      <w:r w:rsidR="00C372B4" w:rsidRPr="006D767A">
        <w:t xml:space="preserve"> the </w:t>
      </w:r>
      <w:r w:rsidR="004231D3">
        <w:t>Call for Service</w:t>
      </w:r>
      <w:r>
        <w:t xml:space="preserve"> form to be submitted by applicant</w:t>
      </w:r>
      <w:r w:rsidR="00C372B4" w:rsidRPr="006D767A">
        <w:t xml:space="preserve"> </w:t>
      </w:r>
      <w:r>
        <w:t xml:space="preserve">is </w:t>
      </w:r>
      <w:r w:rsidR="00C372B4" w:rsidRPr="006D767A">
        <w:t xml:space="preserve">attached hereto as </w:t>
      </w:r>
      <w:r w:rsidR="00BB650C" w:rsidRPr="006D767A">
        <w:t xml:space="preserve">Appendix 1 </w:t>
      </w:r>
      <w:r w:rsidR="00C372B4" w:rsidRPr="006D767A">
        <w:t xml:space="preserve">and can also be found </w:t>
      </w:r>
      <w:r>
        <w:t xml:space="preserve">on </w:t>
      </w:r>
      <w:r w:rsidR="007B722D">
        <w:t>the MDB</w:t>
      </w:r>
      <w:r w:rsidR="00570322">
        <w:t xml:space="preserve"> website</w:t>
      </w:r>
      <w:r w:rsidR="0063485D" w:rsidRPr="00FE76CC">
        <w:t>:</w:t>
      </w:r>
      <w:r w:rsidR="00DD734E" w:rsidRPr="00FE76CC">
        <w:t xml:space="preserve">  </w:t>
      </w:r>
      <w:hyperlink r:id="rId8" w:history="1">
        <w:r w:rsidR="00570322" w:rsidRPr="00FE76CC">
          <w:rPr>
            <w:rStyle w:val="Hyperlink"/>
            <w:color w:val="auto"/>
          </w:rPr>
          <w:t>https://mdb.org.mt</w:t>
        </w:r>
      </w:hyperlink>
    </w:p>
    <w:p w14:paraId="625A4B94" w14:textId="77777777" w:rsidR="004F4C21" w:rsidRPr="006D767A" w:rsidRDefault="004F4C21" w:rsidP="00100511">
      <w:pPr>
        <w:jc w:val="both"/>
        <w:rPr>
          <w:color w:val="FF0000"/>
        </w:rPr>
      </w:pPr>
    </w:p>
    <w:p w14:paraId="3D12590A" w14:textId="6437829B" w:rsidR="0080766A" w:rsidRDefault="0080766A" w:rsidP="00100511">
      <w:pPr>
        <w:jc w:val="both"/>
      </w:pPr>
      <w:r w:rsidRPr="006D767A">
        <w:t xml:space="preserve">The </w:t>
      </w:r>
      <w:r w:rsidR="004231D3">
        <w:t>Call for Service</w:t>
      </w:r>
      <w:r w:rsidRPr="006D767A">
        <w:t xml:space="preserve"> </w:t>
      </w:r>
      <w:r w:rsidR="00BB650C" w:rsidRPr="006D767A">
        <w:t xml:space="preserve">should </w:t>
      </w:r>
      <w:r w:rsidRPr="006D767A">
        <w:t>include the Applicant</w:t>
      </w:r>
      <w:r w:rsidR="008140A2">
        <w:t>’</w:t>
      </w:r>
      <w:r w:rsidRPr="006D767A">
        <w:t xml:space="preserve">s identification, the project description, the supporting documents, the declaration of absence of conflict of interest and the statements regarding situations of exclusion.  </w:t>
      </w:r>
    </w:p>
    <w:p w14:paraId="6BF13888" w14:textId="77777777" w:rsidR="00286E8E" w:rsidRDefault="00286E8E" w:rsidP="00100511">
      <w:pPr>
        <w:jc w:val="both"/>
      </w:pPr>
    </w:p>
    <w:p w14:paraId="4EA12C3C" w14:textId="409A7316" w:rsidR="00286E8E" w:rsidRDefault="00286E8E" w:rsidP="00100511">
      <w:pPr>
        <w:jc w:val="both"/>
      </w:pPr>
      <w:r>
        <w:t xml:space="preserve">The </w:t>
      </w:r>
      <w:r w:rsidR="004231D3">
        <w:t>Call for Service</w:t>
      </w:r>
      <w:r>
        <w:t xml:space="preserve"> is to be accompanied by the Appendices 1A, 1B, 1C and 1D, also attached to this Call. </w:t>
      </w:r>
    </w:p>
    <w:p w14:paraId="0874445C" w14:textId="77777777" w:rsidR="007806D0" w:rsidRDefault="007806D0" w:rsidP="00100511">
      <w:pPr>
        <w:jc w:val="both"/>
      </w:pPr>
    </w:p>
    <w:p w14:paraId="03EE9A2C" w14:textId="4079E4F8" w:rsidR="0080766A" w:rsidRPr="00FE76CC" w:rsidRDefault="007806D0" w:rsidP="00D90932">
      <w:pPr>
        <w:pStyle w:val="ListParagraph"/>
        <w:numPr>
          <w:ilvl w:val="0"/>
          <w:numId w:val="24"/>
        </w:numPr>
        <w:spacing w:after="120"/>
        <w:ind w:left="641" w:hanging="357"/>
        <w:contextualSpacing w:val="0"/>
        <w:jc w:val="both"/>
        <w:rPr>
          <w:b/>
          <w:i/>
        </w:rPr>
      </w:pPr>
      <w:r w:rsidRPr="00FE76CC">
        <w:rPr>
          <w:b/>
          <w:i/>
        </w:rPr>
        <w:t>Requests for clarifications</w:t>
      </w:r>
    </w:p>
    <w:p w14:paraId="739D2CAC" w14:textId="3186E64F" w:rsidR="0063485D" w:rsidRPr="00FE76CC" w:rsidRDefault="00CF2E95" w:rsidP="00100511">
      <w:pPr>
        <w:jc w:val="both"/>
      </w:pPr>
      <w:r>
        <w:t>T</w:t>
      </w:r>
      <w:r w:rsidR="0080766A" w:rsidRPr="006D767A">
        <w:t xml:space="preserve">he Applicant may request clarifications regarding the Call for </w:t>
      </w:r>
      <w:r w:rsidR="004231D3">
        <w:t>Service</w:t>
      </w:r>
      <w:r w:rsidR="004231D3" w:rsidRPr="006D767A">
        <w:t xml:space="preserve"> </w:t>
      </w:r>
      <w:r w:rsidR="0080766A" w:rsidRPr="006D767A">
        <w:t>or the nature of the F</w:t>
      </w:r>
      <w:r w:rsidR="006E724A">
        <w:t>I</w:t>
      </w:r>
      <w:r w:rsidR="001B6B47" w:rsidRPr="001B6B47">
        <w:t xml:space="preserve"> </w:t>
      </w:r>
      <w:r w:rsidR="001B6B47">
        <w:t>u</w:t>
      </w:r>
      <w:r w:rsidR="001B6B47" w:rsidRPr="006D767A">
        <w:t xml:space="preserve">ntil no later than </w:t>
      </w:r>
      <w:r w:rsidR="001B6B47">
        <w:t>seventeen (</w:t>
      </w:r>
      <w:r w:rsidR="001B6B47" w:rsidRPr="006D767A">
        <w:t>17</w:t>
      </w:r>
      <w:r w:rsidR="001B6B47">
        <w:t>)</w:t>
      </w:r>
      <w:r w:rsidR="001B6B47" w:rsidRPr="006D767A">
        <w:t xml:space="preserve"> calendar days before the Deadline</w:t>
      </w:r>
      <w:r w:rsidR="0080766A" w:rsidRPr="006D767A">
        <w:t xml:space="preserve">. Such requests must indicate the Call for </w:t>
      </w:r>
      <w:r w:rsidR="004231D3">
        <w:t xml:space="preserve">Service </w:t>
      </w:r>
      <w:r w:rsidR="0080766A" w:rsidRPr="006D767A">
        <w:t>reference number</w:t>
      </w:r>
      <w:r w:rsidR="004231D3">
        <w:t xml:space="preserve"> MDB/001/2019</w:t>
      </w:r>
      <w:r w:rsidR="0080766A" w:rsidRPr="006D767A">
        <w:t xml:space="preserve"> and the name of the Applicant and shall be submitted in English via e</w:t>
      </w:r>
      <w:r w:rsidR="009149D5">
        <w:t>-</w:t>
      </w:r>
      <w:r w:rsidR="0080766A" w:rsidRPr="006D767A">
        <w:t>mail to:</w:t>
      </w:r>
      <w:r w:rsidR="0063485D" w:rsidRPr="006D767A">
        <w:t xml:space="preserve"> </w:t>
      </w:r>
      <w:hyperlink r:id="rId9" w:history="1">
        <w:r w:rsidR="006E724A" w:rsidRPr="00FE76CC">
          <w:rPr>
            <w:rStyle w:val="Hyperlink"/>
            <w:color w:val="auto"/>
          </w:rPr>
          <w:t>info@mdb.org.mt</w:t>
        </w:r>
      </w:hyperlink>
    </w:p>
    <w:p w14:paraId="6FC7C681" w14:textId="77777777" w:rsidR="0080766A" w:rsidRPr="006D767A" w:rsidRDefault="0080766A" w:rsidP="00100511">
      <w:pPr>
        <w:jc w:val="both"/>
        <w:rPr>
          <w:color w:val="FF0000"/>
        </w:rPr>
      </w:pPr>
    </w:p>
    <w:p w14:paraId="5E174529" w14:textId="0E977BBC" w:rsidR="004F4C21" w:rsidRPr="00FE76CC" w:rsidRDefault="002E3139" w:rsidP="004F4C21">
      <w:pPr>
        <w:jc w:val="both"/>
      </w:pPr>
      <w:r w:rsidRPr="006D767A">
        <w:t xml:space="preserve">Applicants </w:t>
      </w:r>
      <w:r>
        <w:t>r</w:t>
      </w:r>
      <w:r w:rsidR="0080766A" w:rsidRPr="006D767A">
        <w:t>equest</w:t>
      </w:r>
      <w:r>
        <w:t>ing</w:t>
      </w:r>
      <w:r w:rsidR="0080766A" w:rsidRPr="006D767A">
        <w:t xml:space="preserve"> clarifications shall not receive individual replies. Instead, answers to all request</w:t>
      </w:r>
      <w:r w:rsidR="001710A7">
        <w:t>s</w:t>
      </w:r>
      <w:r w:rsidR="0080766A" w:rsidRPr="006D767A">
        <w:t xml:space="preserve"> for clarification received within the relevant deadline will be published </w:t>
      </w:r>
      <w:r w:rsidR="00DD734E">
        <w:t xml:space="preserve">by the MDB </w:t>
      </w:r>
      <w:r w:rsidR="008A64CB">
        <w:t>o</w:t>
      </w:r>
      <w:r w:rsidR="00DD734E">
        <w:t xml:space="preserve">n its </w:t>
      </w:r>
      <w:r w:rsidR="0080766A" w:rsidRPr="00563AE5">
        <w:t>website</w:t>
      </w:r>
      <w:r w:rsidR="0080766A" w:rsidRPr="00DD734E">
        <w:t xml:space="preserve"> </w:t>
      </w:r>
      <w:hyperlink r:id="rId10" w:history="1">
        <w:r w:rsidR="00563AE5" w:rsidRPr="00FE76CC">
          <w:rPr>
            <w:rStyle w:val="Hyperlink"/>
            <w:color w:val="auto"/>
          </w:rPr>
          <w:t>https://mdb.org.mt</w:t>
        </w:r>
      </w:hyperlink>
    </w:p>
    <w:p w14:paraId="3DC5314D" w14:textId="77777777" w:rsidR="0080766A" w:rsidRPr="006D767A" w:rsidRDefault="0080766A" w:rsidP="00100511">
      <w:pPr>
        <w:jc w:val="both"/>
        <w:rPr>
          <w:color w:val="FF0000"/>
        </w:rPr>
      </w:pPr>
    </w:p>
    <w:p w14:paraId="0CD1C51D" w14:textId="4083A048" w:rsidR="00F40E43" w:rsidRDefault="004F4C21" w:rsidP="00100511">
      <w:pPr>
        <w:jc w:val="both"/>
      </w:pPr>
      <w:r w:rsidRPr="006D767A">
        <w:t>MDB</w:t>
      </w:r>
      <w:r w:rsidR="0080766A" w:rsidRPr="006D767A">
        <w:t xml:space="preserve"> will, in principle, not contact any Applicant prior to the Deadline, unless it considers it necessary to clarify issues of a technical nature. </w:t>
      </w:r>
      <w:proofErr w:type="gramStart"/>
      <w:r w:rsidR="000C4FED" w:rsidRPr="00286E8E">
        <w:t>In the event that</w:t>
      </w:r>
      <w:proofErr w:type="gramEnd"/>
      <w:r w:rsidR="000C4FED" w:rsidRPr="00286E8E">
        <w:t xml:space="preserve"> the</w:t>
      </w:r>
      <w:r w:rsidRPr="00286E8E">
        <w:t xml:space="preserve"> MDB</w:t>
      </w:r>
      <w:r w:rsidR="0080766A" w:rsidRPr="00286E8E">
        <w:t xml:space="preserve"> discover</w:t>
      </w:r>
      <w:r w:rsidR="00F25567" w:rsidRPr="00286E8E">
        <w:t>s</w:t>
      </w:r>
      <w:r w:rsidR="0080766A" w:rsidRPr="00286E8E">
        <w:t xml:space="preserve"> any errors, inaccuracies, omissions or any other type of clerical defect in the text for </w:t>
      </w:r>
      <w:r w:rsidR="00286E8E" w:rsidRPr="00286E8E">
        <w:t>this</w:t>
      </w:r>
      <w:r w:rsidR="0080766A" w:rsidRPr="00286E8E">
        <w:t xml:space="preserve"> Call for </w:t>
      </w:r>
      <w:r w:rsidR="004231D3">
        <w:t xml:space="preserve">Service </w:t>
      </w:r>
      <w:r w:rsidR="004231D3" w:rsidRPr="00286E8E">
        <w:t>before</w:t>
      </w:r>
      <w:r w:rsidR="0080766A" w:rsidRPr="00286E8E">
        <w:t xml:space="preserve"> the Deadline, </w:t>
      </w:r>
      <w:r w:rsidR="000C4FED" w:rsidRPr="00286E8E">
        <w:t xml:space="preserve">the </w:t>
      </w:r>
      <w:r w:rsidRPr="00286E8E">
        <w:t>MDB</w:t>
      </w:r>
      <w:r w:rsidR="0080766A" w:rsidRPr="00286E8E">
        <w:t xml:space="preserve"> will </w:t>
      </w:r>
      <w:r w:rsidR="00286E8E" w:rsidRPr="00286E8E">
        <w:t xml:space="preserve">correct the text of the Call and will inform all potential applicants accordingly. </w:t>
      </w:r>
    </w:p>
    <w:p w14:paraId="14A8CD97" w14:textId="77777777" w:rsidR="00FC1B9F" w:rsidRPr="006D767A" w:rsidRDefault="00FC1B9F" w:rsidP="00100511">
      <w:pPr>
        <w:jc w:val="both"/>
      </w:pPr>
    </w:p>
    <w:p w14:paraId="6516AC23" w14:textId="77E7011C" w:rsidR="0080766A" w:rsidRPr="00FE76CC" w:rsidRDefault="0080766A" w:rsidP="00D90932">
      <w:pPr>
        <w:pStyle w:val="ListParagraph"/>
        <w:numPr>
          <w:ilvl w:val="0"/>
          <w:numId w:val="24"/>
        </w:numPr>
        <w:spacing w:after="120"/>
        <w:ind w:left="641" w:hanging="357"/>
        <w:contextualSpacing w:val="0"/>
        <w:jc w:val="both"/>
        <w:rPr>
          <w:b/>
          <w:i/>
        </w:rPr>
      </w:pPr>
      <w:bookmarkStart w:id="4" w:name="_Hlk7203925"/>
      <w:r w:rsidRPr="00FE76CC">
        <w:rPr>
          <w:b/>
          <w:i/>
        </w:rPr>
        <w:t xml:space="preserve">Submission of </w:t>
      </w:r>
      <w:r w:rsidR="004231D3" w:rsidRPr="00FE76CC">
        <w:rPr>
          <w:b/>
          <w:i/>
        </w:rPr>
        <w:t>the Call for Service</w:t>
      </w:r>
    </w:p>
    <w:bookmarkEnd w:id="4"/>
    <w:p w14:paraId="073C9DA8" w14:textId="00C5B077" w:rsidR="00612A59" w:rsidRDefault="0080766A" w:rsidP="00F40E43">
      <w:pPr>
        <w:jc w:val="both"/>
      </w:pPr>
      <w:r w:rsidRPr="006D767A">
        <w:t xml:space="preserve">The </w:t>
      </w:r>
      <w:r w:rsidR="004231D3">
        <w:t>Call for Service</w:t>
      </w:r>
      <w:r w:rsidRPr="006D767A">
        <w:t xml:space="preserve"> shall be submitted in English, on or before the Deadline </w:t>
      </w:r>
      <w:r w:rsidRPr="006D767A">
        <w:rPr>
          <w:b/>
        </w:rPr>
        <w:t xml:space="preserve">both </w:t>
      </w:r>
      <w:r w:rsidRPr="006D767A">
        <w:t xml:space="preserve">by (i) e-mail </w:t>
      </w:r>
      <w:r w:rsidRPr="006D767A">
        <w:rPr>
          <w:b/>
        </w:rPr>
        <w:t xml:space="preserve">and </w:t>
      </w:r>
      <w:r w:rsidRPr="006D767A">
        <w:t xml:space="preserve">(ii) </w:t>
      </w:r>
      <w:r w:rsidR="004F4C21" w:rsidRPr="006D767A">
        <w:t xml:space="preserve">hand or </w:t>
      </w:r>
      <w:r w:rsidRPr="006D767A">
        <w:t xml:space="preserve">professional courier service. </w:t>
      </w:r>
    </w:p>
    <w:p w14:paraId="4544408A" w14:textId="77777777" w:rsidR="00BD4C44" w:rsidRDefault="00BD4C44" w:rsidP="00F40E43">
      <w:pPr>
        <w:jc w:val="both"/>
      </w:pPr>
    </w:p>
    <w:p w14:paraId="27BCFC3F" w14:textId="1912DCA8" w:rsidR="00612A59" w:rsidRDefault="00612A59" w:rsidP="00F40E43">
      <w:pPr>
        <w:jc w:val="both"/>
      </w:pPr>
      <w:r>
        <w:t xml:space="preserve">Hard </w:t>
      </w:r>
      <w:r w:rsidR="00BD4C44">
        <w:t>copies</w:t>
      </w:r>
      <w:r w:rsidR="00846454">
        <w:t xml:space="preserve">, which </w:t>
      </w:r>
      <w:r w:rsidR="00BD63EA">
        <w:t>must</w:t>
      </w:r>
      <w:r w:rsidR="00846454">
        <w:t xml:space="preserve"> include the reference number</w:t>
      </w:r>
      <w:r w:rsidR="004231D3">
        <w:t xml:space="preserve"> MDB/001/2019</w:t>
      </w:r>
      <w:r w:rsidR="00846454">
        <w:t xml:space="preserve"> and title of the call</w:t>
      </w:r>
      <w:r w:rsidR="00FC1B9F">
        <w:t xml:space="preserve"> -</w:t>
      </w:r>
      <w:r w:rsidR="00BD4C44">
        <w:t xml:space="preserve"> </w:t>
      </w:r>
      <w:r w:rsidR="004231D3">
        <w:t xml:space="preserve">Further Studies Made Affordable </w:t>
      </w:r>
      <w:r w:rsidR="00BD4C44">
        <w:t>are to be addressed to:</w:t>
      </w:r>
    </w:p>
    <w:p w14:paraId="165AC8CB" w14:textId="77777777" w:rsidR="00846454" w:rsidRDefault="00BD4C44" w:rsidP="00BD4C44">
      <w:pPr>
        <w:jc w:val="both"/>
      </w:pPr>
      <w:r>
        <w:t xml:space="preserve">     </w:t>
      </w:r>
    </w:p>
    <w:p w14:paraId="20920F33" w14:textId="11BD9569" w:rsidR="00846454" w:rsidRPr="00135201" w:rsidRDefault="00846454" w:rsidP="00846454">
      <w:pPr>
        <w:jc w:val="both"/>
        <w:rPr>
          <w:b/>
          <w:sz w:val="24"/>
          <w:szCs w:val="24"/>
        </w:rPr>
      </w:pPr>
      <w:r w:rsidRPr="00135201">
        <w:rPr>
          <w:b/>
          <w:sz w:val="24"/>
          <w:szCs w:val="24"/>
        </w:rPr>
        <w:t xml:space="preserve">Call for </w:t>
      </w:r>
      <w:r w:rsidR="006D541E">
        <w:rPr>
          <w:b/>
          <w:sz w:val="24"/>
          <w:szCs w:val="24"/>
        </w:rPr>
        <w:t>Service</w:t>
      </w:r>
      <w:r w:rsidRPr="00135201">
        <w:rPr>
          <w:b/>
          <w:sz w:val="24"/>
          <w:szCs w:val="24"/>
        </w:rPr>
        <w:t xml:space="preserve"> </w:t>
      </w:r>
      <w:r w:rsidR="00ED5A7E">
        <w:rPr>
          <w:b/>
          <w:sz w:val="24"/>
          <w:szCs w:val="24"/>
        </w:rPr>
        <w:t>Reference N</w:t>
      </w:r>
      <w:r w:rsidRPr="00135201">
        <w:rPr>
          <w:b/>
          <w:sz w:val="24"/>
          <w:szCs w:val="24"/>
        </w:rPr>
        <w:t xml:space="preserve">umber </w:t>
      </w:r>
      <w:r w:rsidR="006D541E" w:rsidRPr="00C36002">
        <w:rPr>
          <w:b/>
          <w:sz w:val="24"/>
          <w:szCs w:val="24"/>
        </w:rPr>
        <w:t>MDB/001/2019</w:t>
      </w:r>
    </w:p>
    <w:p w14:paraId="2A2EF40E" w14:textId="099E412B" w:rsidR="00846454" w:rsidRDefault="00846454" w:rsidP="00BD4C44">
      <w:pPr>
        <w:jc w:val="both"/>
      </w:pPr>
    </w:p>
    <w:p w14:paraId="1DB468E2" w14:textId="63884136" w:rsidR="00BD4C44" w:rsidRPr="006D767A" w:rsidRDefault="00BD4C44" w:rsidP="00BD4C44">
      <w:pPr>
        <w:jc w:val="both"/>
      </w:pPr>
      <w:r w:rsidRPr="006D767A">
        <w:t>The Chief Executive Officer</w:t>
      </w:r>
    </w:p>
    <w:p w14:paraId="2D287527" w14:textId="536F32E5" w:rsidR="00BD4C44" w:rsidRPr="006D767A" w:rsidRDefault="00BD4C44" w:rsidP="00231E30">
      <w:pPr>
        <w:jc w:val="both"/>
      </w:pPr>
      <w:r w:rsidRPr="006D767A">
        <w:t>Malta Development Bank</w:t>
      </w:r>
    </w:p>
    <w:p w14:paraId="042324D9" w14:textId="2A2F0CC1" w:rsidR="00BD4C44" w:rsidRPr="006D767A" w:rsidRDefault="00BD4C44" w:rsidP="00231E30">
      <w:pPr>
        <w:jc w:val="both"/>
      </w:pPr>
      <w:r w:rsidRPr="006D767A">
        <w:t>Pope Pius V Street</w:t>
      </w:r>
    </w:p>
    <w:p w14:paraId="53495DD7" w14:textId="6867B64A" w:rsidR="00BD4C44" w:rsidRPr="006D767A" w:rsidRDefault="00BD4C44" w:rsidP="00231E30">
      <w:pPr>
        <w:jc w:val="both"/>
      </w:pPr>
      <w:r w:rsidRPr="006D767A">
        <w:t>Valletta VLT 1041</w:t>
      </w:r>
    </w:p>
    <w:p w14:paraId="40A1E61C" w14:textId="77777777" w:rsidR="00BD4C44" w:rsidRPr="006D767A" w:rsidRDefault="00BD4C44" w:rsidP="00BD4C44">
      <w:pPr>
        <w:jc w:val="both"/>
      </w:pPr>
    </w:p>
    <w:p w14:paraId="1E059452" w14:textId="5DED90A9" w:rsidR="00BD4C44" w:rsidRPr="006D767A" w:rsidRDefault="00846454" w:rsidP="00BD4C44">
      <w:pPr>
        <w:jc w:val="both"/>
      </w:pPr>
      <w:r>
        <w:t xml:space="preserve">Electronic </w:t>
      </w:r>
      <w:r w:rsidR="00BD4C44">
        <w:t xml:space="preserve">copies are to be sent </w:t>
      </w:r>
      <w:r w:rsidR="00C8745E">
        <w:t>to</w:t>
      </w:r>
      <w:r w:rsidR="00BD4C44" w:rsidRPr="00C8745E">
        <w:t xml:space="preserve">: </w:t>
      </w:r>
      <w:hyperlink r:id="rId11" w:history="1">
        <w:r w:rsidR="00BD4C44" w:rsidRPr="004829F3">
          <w:rPr>
            <w:rStyle w:val="Hyperlink"/>
            <w:color w:val="auto"/>
          </w:rPr>
          <w:t>info@mdb.org.mt</w:t>
        </w:r>
      </w:hyperlink>
      <w:r w:rsidR="00F33782" w:rsidRPr="00F33782">
        <w:rPr>
          <w:rStyle w:val="Hyperlink"/>
          <w:color w:val="auto"/>
          <w:u w:val="none"/>
        </w:rPr>
        <w:t xml:space="preserve"> and the subject of the e-mail shall clearly indicate</w:t>
      </w:r>
      <w:r w:rsidR="00F33782" w:rsidRPr="000C2BBB">
        <w:t xml:space="preserve"> </w:t>
      </w:r>
      <w:r w:rsidR="00F33782">
        <w:t>the reference number and title of the call</w:t>
      </w:r>
      <w:r w:rsidR="00F33782" w:rsidRPr="00F33782">
        <w:rPr>
          <w:rStyle w:val="Hyperlink"/>
          <w:color w:val="auto"/>
          <w:u w:val="none"/>
        </w:rPr>
        <w:t>.</w:t>
      </w:r>
    </w:p>
    <w:p w14:paraId="2BC773DB" w14:textId="77777777" w:rsidR="00BD4C44" w:rsidRDefault="00BD4C44" w:rsidP="00F40E43">
      <w:pPr>
        <w:jc w:val="both"/>
      </w:pPr>
    </w:p>
    <w:p w14:paraId="31D696CE" w14:textId="6DB3A951" w:rsidR="00F40E43" w:rsidRPr="006D767A" w:rsidRDefault="0080766A" w:rsidP="00F40E43">
      <w:pPr>
        <w:jc w:val="both"/>
        <w:rPr>
          <w:color w:val="FF0000"/>
        </w:rPr>
      </w:pPr>
      <w:r w:rsidRPr="006D767A">
        <w:t xml:space="preserve">The </w:t>
      </w:r>
      <w:r w:rsidR="004231D3">
        <w:t>Call for Service</w:t>
      </w:r>
      <w:r w:rsidRPr="006D767A">
        <w:t xml:space="preserve"> sent by </w:t>
      </w:r>
      <w:r w:rsidR="004F4C21" w:rsidRPr="006D767A">
        <w:t xml:space="preserve">hand </w:t>
      </w:r>
      <w:r w:rsidRPr="006D767A">
        <w:t xml:space="preserve">or professional courier service shall consist of a closed single package, and shall contain the </w:t>
      </w:r>
      <w:r w:rsidR="004231D3">
        <w:t>Call for Service</w:t>
      </w:r>
      <w:r w:rsidR="00562D54" w:rsidRPr="006D767A">
        <w:t xml:space="preserve">, together with its attachments, in paper form and in removable electronic storage medium </w:t>
      </w:r>
      <w:r w:rsidR="004F4C21" w:rsidRPr="006D767A">
        <w:t>(USB drive)</w:t>
      </w:r>
      <w:r w:rsidR="008D2B8D">
        <w:t>.</w:t>
      </w:r>
    </w:p>
    <w:p w14:paraId="10641962" w14:textId="70508544" w:rsidR="00F40E43" w:rsidRDefault="00F40E43" w:rsidP="00F40E43">
      <w:pPr>
        <w:jc w:val="both"/>
        <w:rPr>
          <w:i/>
          <w:color w:val="FF0000"/>
        </w:rPr>
      </w:pPr>
    </w:p>
    <w:p w14:paraId="71595FDA" w14:textId="0CBF15D3" w:rsidR="006F2D3B" w:rsidRDefault="006F2D3B" w:rsidP="00F40E43">
      <w:pPr>
        <w:jc w:val="both"/>
        <w:rPr>
          <w:i/>
          <w:color w:val="FF0000"/>
        </w:rPr>
      </w:pPr>
    </w:p>
    <w:p w14:paraId="6B2E6F15" w14:textId="73A54DA0" w:rsidR="00562D54" w:rsidRPr="00FE76CC" w:rsidRDefault="00562D54" w:rsidP="00D90932">
      <w:pPr>
        <w:pStyle w:val="ListParagraph"/>
        <w:numPr>
          <w:ilvl w:val="0"/>
          <w:numId w:val="24"/>
        </w:numPr>
        <w:jc w:val="both"/>
        <w:rPr>
          <w:b/>
          <w:i/>
        </w:rPr>
      </w:pPr>
      <w:bookmarkStart w:id="5" w:name="_Hlk11922197"/>
      <w:r w:rsidRPr="00FE76CC">
        <w:rPr>
          <w:b/>
          <w:i/>
        </w:rPr>
        <w:t xml:space="preserve">The </w:t>
      </w:r>
      <w:r w:rsidR="00BD63EA" w:rsidRPr="00FE76CC">
        <w:rPr>
          <w:b/>
          <w:i/>
        </w:rPr>
        <w:t>timelines of the</w:t>
      </w:r>
      <w:r w:rsidRPr="00FE76CC">
        <w:rPr>
          <w:b/>
          <w:i/>
        </w:rPr>
        <w:t xml:space="preserve"> </w:t>
      </w:r>
      <w:r w:rsidR="004231D3" w:rsidRPr="00FE76CC">
        <w:rPr>
          <w:b/>
          <w:i/>
        </w:rPr>
        <w:t>Call for Service</w:t>
      </w:r>
    </w:p>
    <w:p w14:paraId="5BFA4271" w14:textId="279FE4A5" w:rsidR="00F93B8A" w:rsidRDefault="00F93B8A" w:rsidP="00100511">
      <w:pPr>
        <w:jc w:val="both"/>
      </w:pPr>
    </w:p>
    <w:tbl>
      <w:tblPr>
        <w:tblStyle w:val="TableGrid"/>
        <w:tblW w:w="0" w:type="auto"/>
        <w:tblLook w:val="04A0" w:firstRow="1" w:lastRow="0" w:firstColumn="1" w:lastColumn="0" w:noHBand="0" w:noVBand="1"/>
      </w:tblPr>
      <w:tblGrid>
        <w:gridCol w:w="4508"/>
        <w:gridCol w:w="4508"/>
      </w:tblGrid>
      <w:tr w:rsidR="00BD63EA" w14:paraId="7BCC2C69" w14:textId="77777777" w:rsidTr="00BD63EA">
        <w:tc>
          <w:tcPr>
            <w:tcW w:w="4508" w:type="dxa"/>
          </w:tcPr>
          <w:p w14:paraId="4521BB99" w14:textId="17C0D520" w:rsidR="00BD63EA" w:rsidRDefault="00BD63EA" w:rsidP="00231E30">
            <w:pPr>
              <w:spacing w:before="120" w:after="120"/>
              <w:jc w:val="both"/>
            </w:pPr>
            <w:r>
              <w:t>Deadline for the submission of the Call</w:t>
            </w:r>
          </w:p>
        </w:tc>
        <w:tc>
          <w:tcPr>
            <w:tcW w:w="4508" w:type="dxa"/>
          </w:tcPr>
          <w:p w14:paraId="3A26C123" w14:textId="04CCB9EB" w:rsidR="00BD63EA" w:rsidRDefault="00BD63EA" w:rsidP="00231E30">
            <w:pPr>
              <w:spacing w:before="120" w:after="120"/>
              <w:jc w:val="both"/>
            </w:pPr>
            <w:r>
              <w:t>26</w:t>
            </w:r>
            <w:r w:rsidRPr="00BD63EA">
              <w:rPr>
                <w:vertAlign w:val="superscript"/>
              </w:rPr>
              <w:t>th</w:t>
            </w:r>
            <w:r>
              <w:t xml:space="preserve"> July 2019</w:t>
            </w:r>
            <w:r w:rsidR="006F2D3B">
              <w:t xml:space="preserve"> at noon</w:t>
            </w:r>
          </w:p>
        </w:tc>
      </w:tr>
      <w:tr w:rsidR="00BD63EA" w14:paraId="04ACFEA4" w14:textId="77777777" w:rsidTr="00BD63EA">
        <w:tc>
          <w:tcPr>
            <w:tcW w:w="4508" w:type="dxa"/>
          </w:tcPr>
          <w:p w14:paraId="62D0AA09" w14:textId="35543ED0" w:rsidR="00BD63EA" w:rsidRDefault="00BD63EA" w:rsidP="00231E30">
            <w:pPr>
              <w:spacing w:before="120" w:after="120"/>
              <w:jc w:val="both"/>
            </w:pPr>
            <w:r>
              <w:t>Deadline for the submission of queries related to the Call</w:t>
            </w:r>
          </w:p>
        </w:tc>
        <w:tc>
          <w:tcPr>
            <w:tcW w:w="4508" w:type="dxa"/>
          </w:tcPr>
          <w:p w14:paraId="7A17F8B4" w14:textId="055F8047" w:rsidR="00BD63EA" w:rsidRDefault="00CE1A8F" w:rsidP="00231E30">
            <w:pPr>
              <w:spacing w:before="120" w:after="120"/>
              <w:jc w:val="both"/>
            </w:pPr>
            <w:r>
              <w:t>10</w:t>
            </w:r>
            <w:r w:rsidRPr="00CE1A8F">
              <w:rPr>
                <w:vertAlign w:val="superscript"/>
              </w:rPr>
              <w:t>th</w:t>
            </w:r>
            <w:r>
              <w:t xml:space="preserve"> July 2019</w:t>
            </w:r>
            <w:r w:rsidR="006F2D3B">
              <w:t xml:space="preserve"> end of business </w:t>
            </w:r>
          </w:p>
        </w:tc>
      </w:tr>
      <w:tr w:rsidR="00BD63EA" w14:paraId="5DB6E433" w14:textId="77777777" w:rsidTr="00BD63EA">
        <w:tc>
          <w:tcPr>
            <w:tcW w:w="4508" w:type="dxa"/>
          </w:tcPr>
          <w:p w14:paraId="7BB186C2" w14:textId="0CBA90C8" w:rsidR="00BD63EA" w:rsidRDefault="00CE1A8F" w:rsidP="00231E30">
            <w:pPr>
              <w:spacing w:before="120" w:after="120"/>
              <w:jc w:val="both"/>
            </w:pPr>
            <w:r>
              <w:t>Publication by MDB of the Applicant/s awarded the call/ MDB to send notification to the non-awarded Applicants</w:t>
            </w:r>
          </w:p>
        </w:tc>
        <w:tc>
          <w:tcPr>
            <w:tcW w:w="4508" w:type="dxa"/>
          </w:tcPr>
          <w:p w14:paraId="648BAE9F" w14:textId="3BC8DA1E" w:rsidR="00BD63EA" w:rsidRDefault="00CE1A8F" w:rsidP="00231E30">
            <w:pPr>
              <w:spacing w:before="120" w:after="120"/>
              <w:jc w:val="both"/>
            </w:pPr>
            <w:r>
              <w:t>12</w:t>
            </w:r>
            <w:r w:rsidRPr="00CE1A8F">
              <w:rPr>
                <w:vertAlign w:val="superscript"/>
              </w:rPr>
              <w:t>th</w:t>
            </w:r>
            <w:r>
              <w:t xml:space="preserve"> August 2019</w:t>
            </w:r>
            <w:r w:rsidR="006F2D3B">
              <w:t xml:space="preserve"> end of business</w:t>
            </w:r>
          </w:p>
        </w:tc>
      </w:tr>
      <w:tr w:rsidR="00BD63EA" w14:paraId="76E07F3A" w14:textId="77777777" w:rsidTr="00BD63EA">
        <w:tc>
          <w:tcPr>
            <w:tcW w:w="4508" w:type="dxa"/>
          </w:tcPr>
          <w:p w14:paraId="4C5D5B95" w14:textId="41B6612B" w:rsidR="00BD63EA" w:rsidRDefault="00CE1A8F" w:rsidP="00231E30">
            <w:pPr>
              <w:spacing w:before="120" w:after="120"/>
              <w:jc w:val="both"/>
            </w:pPr>
            <w:r>
              <w:t>Deadline for the submission of Appeals by the non-awarded Applicants.</w:t>
            </w:r>
          </w:p>
        </w:tc>
        <w:tc>
          <w:tcPr>
            <w:tcW w:w="4508" w:type="dxa"/>
          </w:tcPr>
          <w:p w14:paraId="348F41EA" w14:textId="6FD6E63E" w:rsidR="00BD63EA" w:rsidRDefault="003A4B59" w:rsidP="00231E30">
            <w:pPr>
              <w:spacing w:before="120" w:after="120"/>
              <w:jc w:val="both"/>
            </w:pPr>
            <w:r>
              <w:t>Ten (10) calendar days</w:t>
            </w:r>
            <w:r w:rsidR="00C60018">
              <w:t xml:space="preserve"> </w:t>
            </w:r>
            <w:r w:rsidR="00E5379A">
              <w:t>after publication of Applica</w:t>
            </w:r>
            <w:r w:rsidR="00DE22A9">
              <w:t xml:space="preserve">nt/s Award/Non-Award, tentatively </w:t>
            </w:r>
            <w:r w:rsidR="00CE1A8F">
              <w:t>22</w:t>
            </w:r>
            <w:r w:rsidR="00CE1A8F" w:rsidRPr="00CE1A8F">
              <w:rPr>
                <w:vertAlign w:val="superscript"/>
              </w:rPr>
              <w:t>nd</w:t>
            </w:r>
            <w:r w:rsidR="00CE1A8F">
              <w:t xml:space="preserve"> August 2019</w:t>
            </w:r>
            <w:r w:rsidR="006F2D3B">
              <w:t xml:space="preserve"> end of business</w:t>
            </w:r>
          </w:p>
        </w:tc>
      </w:tr>
      <w:bookmarkEnd w:id="5"/>
    </w:tbl>
    <w:p w14:paraId="787B9E63" w14:textId="77777777" w:rsidR="00BD63EA" w:rsidRDefault="00BD63EA" w:rsidP="00100511">
      <w:pPr>
        <w:jc w:val="both"/>
      </w:pPr>
    </w:p>
    <w:p w14:paraId="15E1F5DA" w14:textId="61623AE5" w:rsidR="00562D54" w:rsidRDefault="00CE1A8F" w:rsidP="00100511">
      <w:pPr>
        <w:jc w:val="both"/>
      </w:pPr>
      <w:r>
        <w:t>The</w:t>
      </w:r>
      <w:r w:rsidR="00562D54" w:rsidRPr="006D767A">
        <w:t xml:space="preserve"> Deadline</w:t>
      </w:r>
      <w:r>
        <w:t>s referred to in the above table</w:t>
      </w:r>
      <w:r w:rsidR="00562D54" w:rsidRPr="006D767A">
        <w:t xml:space="preserve"> appl</w:t>
      </w:r>
      <w:r w:rsidR="009E0028">
        <w:t>y</w:t>
      </w:r>
      <w:r w:rsidR="00562D54" w:rsidRPr="006D767A">
        <w:t xml:space="preserve"> </w:t>
      </w:r>
      <w:r w:rsidR="004F4C21" w:rsidRPr="006D767A">
        <w:t xml:space="preserve">to the date of receipt </w:t>
      </w:r>
      <w:r w:rsidR="0072168C">
        <w:t xml:space="preserve">by the MDB </w:t>
      </w:r>
      <w:r w:rsidR="004F4C21" w:rsidRPr="006D767A">
        <w:t xml:space="preserve">of </w:t>
      </w:r>
      <w:r w:rsidR="004F4C21" w:rsidRPr="006D767A">
        <w:rPr>
          <w:b/>
        </w:rPr>
        <w:t xml:space="preserve">both </w:t>
      </w:r>
      <w:r w:rsidR="0072168C">
        <w:t xml:space="preserve">the soft copy </w:t>
      </w:r>
      <w:r w:rsidR="00E3774A">
        <w:t>and the hard copy of all the documentation re</w:t>
      </w:r>
      <w:r w:rsidR="007079EC">
        <w:t>quested in the Call.</w:t>
      </w:r>
    </w:p>
    <w:p w14:paraId="55F2B8A0" w14:textId="5BA1C1FE" w:rsidR="00AF0BDA" w:rsidRDefault="00AF0BDA" w:rsidP="00100511">
      <w:pPr>
        <w:jc w:val="both"/>
      </w:pPr>
    </w:p>
    <w:p w14:paraId="679C0E61" w14:textId="1EECF0D9" w:rsidR="00AF0BDA" w:rsidRPr="006D767A" w:rsidRDefault="00AF0BDA" w:rsidP="00100511">
      <w:pPr>
        <w:jc w:val="both"/>
      </w:pPr>
      <w:r>
        <w:t xml:space="preserve">The dates mentioned above may be changed at MDB’s discretion, </w:t>
      </w:r>
      <w:r w:rsidR="00712AAF">
        <w:t xml:space="preserve">in which case </w:t>
      </w:r>
      <w:r>
        <w:t>any changes in the dates will be officially announced on MDB’s website</w:t>
      </w:r>
      <w:r w:rsidR="00FF248C">
        <w:t xml:space="preserve"> </w:t>
      </w:r>
      <w:r w:rsidR="005D5B2B">
        <w:t xml:space="preserve">not less than two (2) </w:t>
      </w:r>
      <w:r w:rsidR="00D80C12">
        <w:t>working days in advance</w:t>
      </w:r>
      <w:r>
        <w:t>.</w:t>
      </w:r>
    </w:p>
    <w:p w14:paraId="18A15B7A" w14:textId="77777777" w:rsidR="00562D54" w:rsidRPr="006D767A" w:rsidRDefault="00562D54" w:rsidP="00100511">
      <w:pPr>
        <w:jc w:val="both"/>
      </w:pPr>
    </w:p>
    <w:p w14:paraId="648BB0A1" w14:textId="48642E5B" w:rsidR="004F4C21" w:rsidRPr="00FE76CC" w:rsidRDefault="00C8745E" w:rsidP="00D90932">
      <w:pPr>
        <w:pStyle w:val="ListParagraph"/>
        <w:numPr>
          <w:ilvl w:val="0"/>
          <w:numId w:val="24"/>
        </w:numPr>
        <w:spacing w:after="120"/>
        <w:ind w:left="641" w:hanging="357"/>
        <w:contextualSpacing w:val="0"/>
        <w:jc w:val="both"/>
        <w:rPr>
          <w:b/>
          <w:i/>
          <w:color w:val="FF0000"/>
        </w:rPr>
      </w:pPr>
      <w:r w:rsidRPr="00FE76CC">
        <w:rPr>
          <w:b/>
          <w:i/>
        </w:rPr>
        <w:t xml:space="preserve">Amendments to </w:t>
      </w:r>
      <w:r w:rsidR="004231D3" w:rsidRPr="00FE76CC">
        <w:rPr>
          <w:b/>
          <w:i/>
        </w:rPr>
        <w:t>Call for Service</w:t>
      </w:r>
    </w:p>
    <w:p w14:paraId="5E03EBD3" w14:textId="6C5815E5" w:rsidR="00562D54" w:rsidRPr="006D767A" w:rsidRDefault="00562D54" w:rsidP="00100511">
      <w:pPr>
        <w:jc w:val="both"/>
      </w:pPr>
      <w:r w:rsidRPr="00914264">
        <w:t xml:space="preserve">Prior to the Deadline and in the same manner as specified above, the </w:t>
      </w:r>
      <w:r w:rsidR="00684011" w:rsidRPr="00914264">
        <w:t>Applicant</w:t>
      </w:r>
      <w:r w:rsidRPr="00914264">
        <w:t xml:space="preserve"> may amend the </w:t>
      </w:r>
      <w:r w:rsidR="004231D3">
        <w:t>Call for Service</w:t>
      </w:r>
      <w:r w:rsidRPr="00914264">
        <w:t xml:space="preserve"> by clearly indicating the part to be changed or amended.</w:t>
      </w:r>
    </w:p>
    <w:p w14:paraId="577AE79A" w14:textId="77777777" w:rsidR="00562D54" w:rsidRPr="006D767A" w:rsidRDefault="00562D54" w:rsidP="00100511">
      <w:pPr>
        <w:jc w:val="both"/>
      </w:pPr>
    </w:p>
    <w:p w14:paraId="2113D2A4" w14:textId="0A4CE4AF" w:rsidR="00562D54" w:rsidRPr="006D767A" w:rsidRDefault="00562D54" w:rsidP="00100511">
      <w:pPr>
        <w:jc w:val="both"/>
      </w:pPr>
      <w:r w:rsidRPr="006D767A">
        <w:t xml:space="preserve">Prior </w:t>
      </w:r>
      <w:r w:rsidR="0000225C">
        <w:t xml:space="preserve">to </w:t>
      </w:r>
      <w:r w:rsidRPr="006D767A">
        <w:t xml:space="preserve">or after the Deadline and in the same manner as specified above, the Applicants may withdraw their </w:t>
      </w:r>
      <w:r w:rsidR="004231D3">
        <w:t>Call for Service</w:t>
      </w:r>
      <w:r w:rsidRPr="006D767A">
        <w:t>.</w:t>
      </w:r>
    </w:p>
    <w:p w14:paraId="1084B34D" w14:textId="77777777" w:rsidR="00562D54" w:rsidRPr="006D767A" w:rsidRDefault="00562D54" w:rsidP="00100511">
      <w:pPr>
        <w:jc w:val="both"/>
      </w:pPr>
    </w:p>
    <w:p w14:paraId="4DDF3CA8" w14:textId="08B2474C" w:rsidR="00562D54" w:rsidRPr="006D767A" w:rsidRDefault="00562D54" w:rsidP="00231E30">
      <w:pPr>
        <w:spacing w:after="120"/>
        <w:jc w:val="both"/>
      </w:pPr>
      <w:r w:rsidRPr="006D767A">
        <w:t xml:space="preserve">After the Deadline, an acknowledgement of receipt will be sent </w:t>
      </w:r>
      <w:r w:rsidR="00C851BF" w:rsidRPr="006D767A">
        <w:t xml:space="preserve">by </w:t>
      </w:r>
      <w:r w:rsidR="00C851BF">
        <w:t xml:space="preserve">the </w:t>
      </w:r>
      <w:r w:rsidR="00C851BF" w:rsidRPr="006D767A">
        <w:t xml:space="preserve">MDB </w:t>
      </w:r>
      <w:r w:rsidRPr="006D767A">
        <w:t xml:space="preserve">to </w:t>
      </w:r>
      <w:r w:rsidR="00C851BF">
        <w:t>all</w:t>
      </w:r>
      <w:r w:rsidRPr="006D767A">
        <w:t xml:space="preserve"> Applicant</w:t>
      </w:r>
      <w:r w:rsidR="00C851BF">
        <w:t>s</w:t>
      </w:r>
      <w:r w:rsidRPr="006D767A">
        <w:t xml:space="preserve"> via e-mail, which shall state the following:</w:t>
      </w:r>
    </w:p>
    <w:p w14:paraId="0826CEE7" w14:textId="3FC3B257" w:rsidR="00562D54" w:rsidRPr="006D767A" w:rsidRDefault="00562D54" w:rsidP="00D90932">
      <w:pPr>
        <w:pStyle w:val="ListParagraph"/>
        <w:numPr>
          <w:ilvl w:val="0"/>
          <w:numId w:val="12"/>
        </w:numPr>
        <w:spacing w:after="120"/>
        <w:ind w:left="714" w:hanging="357"/>
        <w:contextualSpacing w:val="0"/>
        <w:jc w:val="both"/>
      </w:pPr>
      <w:r w:rsidRPr="006D767A">
        <w:t>Unique proposal identifier (</w:t>
      </w:r>
      <w:r w:rsidR="004231D3">
        <w:t>Call for Service</w:t>
      </w:r>
      <w:r w:rsidRPr="006D767A">
        <w:t xml:space="preserve"> </w:t>
      </w:r>
      <w:r w:rsidR="003F5128">
        <w:t xml:space="preserve">by the Financial Institution </w:t>
      </w:r>
      <w:r w:rsidRPr="006D767A">
        <w:t>number);</w:t>
      </w:r>
    </w:p>
    <w:p w14:paraId="53DC2D89" w14:textId="3938BD2F" w:rsidR="00562D54" w:rsidRPr="006D767A" w:rsidRDefault="00562D54" w:rsidP="00D90932">
      <w:pPr>
        <w:pStyle w:val="ListParagraph"/>
        <w:numPr>
          <w:ilvl w:val="0"/>
          <w:numId w:val="12"/>
        </w:numPr>
        <w:spacing w:after="120"/>
        <w:ind w:left="714" w:hanging="357"/>
        <w:contextualSpacing w:val="0"/>
        <w:jc w:val="both"/>
      </w:pPr>
      <w:r w:rsidRPr="006D767A">
        <w:t xml:space="preserve">Reference number of the Call for </w:t>
      </w:r>
      <w:r w:rsidR="006D541E">
        <w:t>Service</w:t>
      </w:r>
      <w:r w:rsidR="004231D3">
        <w:t xml:space="preserve"> (MDB/001/2019)</w:t>
      </w:r>
      <w:r w:rsidRPr="006D767A">
        <w:t>;</w:t>
      </w:r>
    </w:p>
    <w:p w14:paraId="40CBD4C2" w14:textId="38D2E1A1" w:rsidR="00562D54" w:rsidRPr="006D767A" w:rsidRDefault="00562D54" w:rsidP="00D90932">
      <w:pPr>
        <w:pStyle w:val="ListParagraph"/>
        <w:numPr>
          <w:ilvl w:val="0"/>
          <w:numId w:val="12"/>
        </w:numPr>
        <w:spacing w:after="120"/>
        <w:ind w:left="714" w:hanging="357"/>
        <w:contextualSpacing w:val="0"/>
        <w:jc w:val="both"/>
      </w:pPr>
      <w:r w:rsidRPr="006D767A">
        <w:t xml:space="preserve">Confirmation that the </w:t>
      </w:r>
      <w:r w:rsidR="004231D3">
        <w:t>Call for Service</w:t>
      </w:r>
      <w:r w:rsidRPr="006D767A">
        <w:t xml:space="preserve"> was received before the Deadline.</w:t>
      </w:r>
    </w:p>
    <w:p w14:paraId="66ADF735" w14:textId="6AA928F0" w:rsidR="00562D54" w:rsidRPr="006D767A" w:rsidRDefault="00562D54" w:rsidP="00562D54">
      <w:pPr>
        <w:jc w:val="both"/>
      </w:pPr>
      <w:r w:rsidRPr="006D767A">
        <w:t xml:space="preserve">The acknowledgement of receipt shall not be construed as a declaration of completeness of the </w:t>
      </w:r>
      <w:r w:rsidR="00C36002">
        <w:t>Call for Service</w:t>
      </w:r>
      <w:r w:rsidRPr="006D767A">
        <w:t xml:space="preserve"> and the Documents </w:t>
      </w:r>
      <w:r w:rsidR="00056FB4">
        <w:t xml:space="preserve">to be </w:t>
      </w:r>
      <w:r w:rsidRPr="006D767A">
        <w:t xml:space="preserve">submitted </w:t>
      </w:r>
      <w:r w:rsidRPr="00E76E62">
        <w:t>therewith</w:t>
      </w:r>
      <w:r w:rsidR="00056FB4" w:rsidRPr="00E76E62">
        <w:t xml:space="preserve"> (namely Appendices </w:t>
      </w:r>
      <w:r w:rsidR="00E76E62" w:rsidRPr="00E76E62">
        <w:t>1</w:t>
      </w:r>
      <w:r w:rsidR="0000225C">
        <w:t>A</w:t>
      </w:r>
      <w:r w:rsidR="00056FB4" w:rsidRPr="00E76E62">
        <w:t xml:space="preserve"> to </w:t>
      </w:r>
      <w:r w:rsidR="00E76E62" w:rsidRPr="00E76E62">
        <w:t>1D</w:t>
      </w:r>
      <w:r w:rsidR="00056FB4" w:rsidRPr="00E76E62">
        <w:t>)</w:t>
      </w:r>
      <w:r w:rsidRPr="00E76E62">
        <w:t>,</w:t>
      </w:r>
      <w:r w:rsidRPr="006D767A">
        <w:t xml:space="preserve"> nor any kind of assessment of the same.</w:t>
      </w:r>
    </w:p>
    <w:p w14:paraId="3AF19933" w14:textId="4F167CB1" w:rsidR="00562D54" w:rsidRDefault="00562D54" w:rsidP="00562D54">
      <w:pPr>
        <w:jc w:val="both"/>
      </w:pPr>
    </w:p>
    <w:p w14:paraId="2CBA7AFA" w14:textId="55A9D323" w:rsidR="006F2D3B" w:rsidRPr="00FE76CC" w:rsidRDefault="006F2D3B" w:rsidP="00D90932">
      <w:pPr>
        <w:pStyle w:val="ListParagraph"/>
        <w:numPr>
          <w:ilvl w:val="0"/>
          <w:numId w:val="24"/>
        </w:numPr>
        <w:spacing w:after="120"/>
        <w:ind w:left="641" w:hanging="357"/>
        <w:contextualSpacing w:val="0"/>
        <w:jc w:val="both"/>
        <w:rPr>
          <w:b/>
          <w:i/>
        </w:rPr>
      </w:pPr>
      <w:r w:rsidRPr="00FE76CC">
        <w:rPr>
          <w:b/>
          <w:i/>
        </w:rPr>
        <w:t>Appeal</w:t>
      </w:r>
    </w:p>
    <w:p w14:paraId="6F15D1D5" w14:textId="3DC130E3" w:rsidR="006F2D3B" w:rsidRDefault="00BD70C7" w:rsidP="006F2D3B">
      <w:pPr>
        <w:jc w:val="both"/>
      </w:pPr>
      <w:r w:rsidRPr="006D767A">
        <w:t xml:space="preserve">Those </w:t>
      </w:r>
      <w:r>
        <w:t>A</w:t>
      </w:r>
      <w:r w:rsidRPr="006D767A">
        <w:t xml:space="preserve">pplicants, whose </w:t>
      </w:r>
      <w:r>
        <w:t>Call for Service</w:t>
      </w:r>
      <w:r w:rsidRPr="006D767A">
        <w:t xml:space="preserve"> is rejected, shall have the right to submit a written </w:t>
      </w:r>
      <w:r>
        <w:t xml:space="preserve">appeal </w:t>
      </w:r>
      <w:r w:rsidRPr="006D767A">
        <w:t>by e</w:t>
      </w:r>
      <w:r>
        <w:t>-</w:t>
      </w:r>
      <w:r w:rsidRPr="006D767A">
        <w:t xml:space="preserve">mail and registered mail or professional courier service, to the same address used for the submission of the </w:t>
      </w:r>
      <w:r>
        <w:t>Call for Service</w:t>
      </w:r>
      <w:r w:rsidRPr="006D767A">
        <w:t xml:space="preserve"> above, within t</w:t>
      </w:r>
      <w:r>
        <w:t>en</w:t>
      </w:r>
      <w:r w:rsidRPr="006D767A">
        <w:t xml:space="preserve"> (</w:t>
      </w:r>
      <w:r>
        <w:t>10</w:t>
      </w:r>
      <w:r w:rsidRPr="006D767A">
        <w:t xml:space="preserve">) </w:t>
      </w:r>
      <w:r>
        <w:t xml:space="preserve">calendar </w:t>
      </w:r>
      <w:r w:rsidRPr="006D767A">
        <w:t xml:space="preserve">days of receipt of the </w:t>
      </w:r>
      <w:r w:rsidRPr="00B635E7">
        <w:t>letter of rejection</w:t>
      </w:r>
      <w:r w:rsidR="00D970DA">
        <w:t>, tentatively by not later than 22</w:t>
      </w:r>
      <w:r w:rsidR="00D970DA" w:rsidRPr="006F2D3B">
        <w:rPr>
          <w:vertAlign w:val="superscript"/>
        </w:rPr>
        <w:t>nd</w:t>
      </w:r>
      <w:r w:rsidR="00D970DA">
        <w:t xml:space="preserve"> August 2019.  </w:t>
      </w:r>
      <w:r w:rsidR="006F2D3B">
        <w:t>The Appe</w:t>
      </w:r>
      <w:r w:rsidR="00B75DA7">
        <w:t>a</w:t>
      </w:r>
      <w:r w:rsidR="006F2D3B">
        <w:t xml:space="preserve">l must include a duly motivated justification, giving reasons why the Applicant does not agree with the decision taken by MDB and why the Applicant </w:t>
      </w:r>
      <w:r w:rsidR="00C3054F">
        <w:t>should therefore be re-considered. The Applicant is requested to submit any relevant documentation, if applicable, in support of the appeal.</w:t>
      </w:r>
    </w:p>
    <w:p w14:paraId="7F0B0A50" w14:textId="77777777" w:rsidR="00C3054F" w:rsidRPr="006F2D3B" w:rsidRDefault="00C3054F" w:rsidP="006F2D3B">
      <w:pPr>
        <w:jc w:val="both"/>
      </w:pPr>
    </w:p>
    <w:p w14:paraId="1E104C53" w14:textId="77777777" w:rsidR="00231E30" w:rsidRDefault="00231E30" w:rsidP="00F13BE4">
      <w:pPr>
        <w:jc w:val="both"/>
        <w:rPr>
          <w:b/>
        </w:rPr>
      </w:pPr>
    </w:p>
    <w:p w14:paraId="618F1769" w14:textId="141A0A20" w:rsidR="00562D54" w:rsidRDefault="00F13BE4" w:rsidP="00F13BE4">
      <w:pPr>
        <w:jc w:val="both"/>
        <w:rPr>
          <w:b/>
        </w:rPr>
      </w:pPr>
      <w:r>
        <w:rPr>
          <w:b/>
        </w:rPr>
        <w:t xml:space="preserve">Part VII: </w:t>
      </w:r>
      <w:r w:rsidR="00562D54" w:rsidRPr="00F13BE4">
        <w:rPr>
          <w:b/>
        </w:rPr>
        <w:t>Selection process</w:t>
      </w:r>
    </w:p>
    <w:p w14:paraId="24E920BF" w14:textId="1E9A14A8" w:rsidR="00846454" w:rsidRDefault="00846454" w:rsidP="00F13BE4">
      <w:pPr>
        <w:jc w:val="both"/>
        <w:rPr>
          <w:b/>
        </w:rPr>
      </w:pPr>
    </w:p>
    <w:p w14:paraId="18173FA2" w14:textId="6B2C40B7" w:rsidR="00846454" w:rsidRDefault="00AE41EA" w:rsidP="00F13BE4">
      <w:pPr>
        <w:jc w:val="both"/>
        <w:rPr>
          <w:b/>
        </w:rPr>
      </w:pPr>
      <w:r>
        <w:rPr>
          <w:b/>
        </w:rPr>
        <w:t xml:space="preserve">The Financial Institution/s shall be selected </w:t>
      </w:r>
      <w:r w:rsidR="0009756B">
        <w:rPr>
          <w:b/>
        </w:rPr>
        <w:t>based on</w:t>
      </w:r>
      <w:r>
        <w:rPr>
          <w:b/>
        </w:rPr>
        <w:t xml:space="preserve"> </w:t>
      </w:r>
      <w:r w:rsidR="00153167">
        <w:rPr>
          <w:b/>
        </w:rPr>
        <w:t>a</w:t>
      </w:r>
      <w:r w:rsidR="00710CC1">
        <w:rPr>
          <w:b/>
        </w:rPr>
        <w:t>n</w:t>
      </w:r>
      <w:r w:rsidR="00153167">
        <w:rPr>
          <w:b/>
        </w:rPr>
        <w:t xml:space="preserve"> </w:t>
      </w:r>
      <w:r>
        <w:rPr>
          <w:b/>
        </w:rPr>
        <w:t xml:space="preserve">open, transparent, proportionate, non-discriminatory and objective </w:t>
      </w:r>
      <w:r w:rsidR="00AC5EF5">
        <w:rPr>
          <w:b/>
        </w:rPr>
        <w:t>se</w:t>
      </w:r>
      <w:r w:rsidR="00122209">
        <w:rPr>
          <w:b/>
        </w:rPr>
        <w:t>le</w:t>
      </w:r>
      <w:r w:rsidR="00AC5EF5">
        <w:rPr>
          <w:b/>
        </w:rPr>
        <w:t>ction</w:t>
      </w:r>
      <w:r>
        <w:rPr>
          <w:b/>
        </w:rPr>
        <w:t xml:space="preserve"> procedure avoiding conflicts of interest, in line with the MDB</w:t>
      </w:r>
      <w:r w:rsidR="00710CC1">
        <w:rPr>
          <w:b/>
        </w:rPr>
        <w:t>’s</w:t>
      </w:r>
      <w:r>
        <w:rPr>
          <w:b/>
        </w:rPr>
        <w:t xml:space="preserve"> policies</w:t>
      </w:r>
      <w:r w:rsidR="00A61539">
        <w:rPr>
          <w:b/>
        </w:rPr>
        <w:t xml:space="preserve"> and </w:t>
      </w:r>
      <w:r>
        <w:rPr>
          <w:b/>
        </w:rPr>
        <w:t>procedures</w:t>
      </w:r>
      <w:r w:rsidR="00AC5EF5">
        <w:rPr>
          <w:b/>
        </w:rPr>
        <w:t>.</w:t>
      </w:r>
    </w:p>
    <w:p w14:paraId="54BA54EF" w14:textId="77777777" w:rsidR="00F13BE4" w:rsidRPr="00F13BE4" w:rsidRDefault="00F13BE4" w:rsidP="00F13BE4">
      <w:pPr>
        <w:jc w:val="both"/>
        <w:rPr>
          <w:b/>
        </w:rPr>
      </w:pPr>
    </w:p>
    <w:p w14:paraId="13F53FF8" w14:textId="2AB30DEF" w:rsidR="00723B58" w:rsidRPr="006D767A" w:rsidRDefault="00B72930" w:rsidP="00723B58">
      <w:pPr>
        <w:jc w:val="both"/>
      </w:pPr>
      <w:r w:rsidRPr="006D767A">
        <w:t xml:space="preserve">The </w:t>
      </w:r>
      <w:r w:rsidR="00C36002">
        <w:t>Call for Service</w:t>
      </w:r>
      <w:r w:rsidR="00723B58" w:rsidRPr="006D767A">
        <w:t xml:space="preserve"> </w:t>
      </w:r>
      <w:r w:rsidR="007768EF">
        <w:t>shall</w:t>
      </w:r>
      <w:r w:rsidR="00723B58" w:rsidRPr="006D767A">
        <w:t xml:space="preserve"> be examined</w:t>
      </w:r>
      <w:r w:rsidR="005A2100">
        <w:t xml:space="preserve"> and ranked</w:t>
      </w:r>
      <w:r w:rsidR="00723B58" w:rsidRPr="006D767A">
        <w:t xml:space="preserve"> by the </w:t>
      </w:r>
      <w:r w:rsidR="00684011" w:rsidRPr="006D767A">
        <w:t>MDB</w:t>
      </w:r>
      <w:r w:rsidR="00DB0E4E">
        <w:t xml:space="preserve"> </w:t>
      </w:r>
      <w:r w:rsidR="00723B58" w:rsidRPr="006D767A">
        <w:t>using professional analysis and judgment</w:t>
      </w:r>
      <w:r w:rsidR="005A2100">
        <w:t xml:space="preserve"> avoiding conflicts of interest based on</w:t>
      </w:r>
      <w:r w:rsidR="00723B58" w:rsidRPr="006D767A">
        <w:t xml:space="preserve"> the Selection Criteria</w:t>
      </w:r>
      <w:r w:rsidR="005A2100">
        <w:t xml:space="preserve"> and the Award Criteria </w:t>
      </w:r>
      <w:r w:rsidR="000B6319">
        <w:t xml:space="preserve">specified in Annex 1 </w:t>
      </w:r>
      <w:r w:rsidR="000B6319" w:rsidRPr="00DB0E4E">
        <w:t>and 2</w:t>
      </w:r>
      <w:r w:rsidR="00181C47" w:rsidRPr="00DB0E4E">
        <w:t xml:space="preserve"> </w:t>
      </w:r>
      <w:r w:rsidR="00DB0E4E" w:rsidRPr="00DB0E4E">
        <w:t>in</w:t>
      </w:r>
      <w:r w:rsidR="005A2100" w:rsidRPr="00DB0E4E">
        <w:t xml:space="preserve"> accordance</w:t>
      </w:r>
      <w:r w:rsidR="005A2100">
        <w:t xml:space="preserve"> with the Selection process</w:t>
      </w:r>
      <w:r w:rsidR="00ED5A7E">
        <w:t xml:space="preserve"> which will be based on the procedures as outlined in Annex 2.</w:t>
      </w:r>
    </w:p>
    <w:p w14:paraId="42A3BBA0" w14:textId="77777777" w:rsidR="00B72930" w:rsidRPr="006D767A" w:rsidRDefault="00B72930" w:rsidP="00723B58">
      <w:pPr>
        <w:jc w:val="both"/>
      </w:pPr>
    </w:p>
    <w:p w14:paraId="1E61BB40" w14:textId="322A5AD3" w:rsidR="00B72930" w:rsidRPr="006D767A" w:rsidRDefault="00B72930" w:rsidP="00723B58">
      <w:pPr>
        <w:jc w:val="both"/>
      </w:pPr>
      <w:r w:rsidRPr="006D767A">
        <w:t>The</w:t>
      </w:r>
      <w:r w:rsidRPr="006D767A">
        <w:rPr>
          <w:color w:val="FF0000"/>
        </w:rPr>
        <w:t xml:space="preserve"> </w:t>
      </w:r>
      <w:r w:rsidR="00684011" w:rsidRPr="006D767A">
        <w:t>MDB</w:t>
      </w:r>
      <w:r w:rsidR="00684011" w:rsidRPr="006D767A">
        <w:rPr>
          <w:color w:val="FF0000"/>
        </w:rPr>
        <w:t xml:space="preserve"> </w:t>
      </w:r>
      <w:r w:rsidR="007768EF" w:rsidRPr="001C44F5">
        <w:t>shall</w:t>
      </w:r>
      <w:r w:rsidR="00CD6144" w:rsidRPr="006D767A">
        <w:t xml:space="preserve"> </w:t>
      </w:r>
      <w:r w:rsidR="0010604F" w:rsidRPr="006D767A">
        <w:t xml:space="preserve">reject those </w:t>
      </w:r>
      <w:r w:rsidR="00C36002">
        <w:t>Calls for Service</w:t>
      </w:r>
      <w:r w:rsidR="0010604F" w:rsidRPr="006D767A">
        <w:t xml:space="preserve"> which do not comply with the</w:t>
      </w:r>
      <w:r w:rsidR="00AC5EF5">
        <w:t xml:space="preserve"> Selection</w:t>
      </w:r>
      <w:r w:rsidR="001E3CA0" w:rsidRPr="006D767A">
        <w:t xml:space="preserve"> Criteria. Financial </w:t>
      </w:r>
      <w:r w:rsidR="008015E9" w:rsidRPr="006D767A">
        <w:t>Institutions</w:t>
      </w:r>
      <w:r w:rsidR="001E3CA0" w:rsidRPr="006D767A">
        <w:t xml:space="preserve"> whose applicat</w:t>
      </w:r>
      <w:r w:rsidR="00C74B0C">
        <w:t>ion</w:t>
      </w:r>
      <w:r w:rsidR="001E3CA0" w:rsidRPr="006D767A">
        <w:t xml:space="preserve"> is rejected because of non-compliance with any of the elements reflected in the statements regarding </w:t>
      </w:r>
      <w:r w:rsidR="002651A8" w:rsidRPr="006D767A">
        <w:t>si</w:t>
      </w:r>
      <w:r w:rsidR="00C466E3" w:rsidRPr="006D767A">
        <w:t>tuations of exclusion (Appendic</w:t>
      </w:r>
      <w:r w:rsidR="00957946" w:rsidRPr="006D767A">
        <w:t xml:space="preserve">es </w:t>
      </w:r>
      <w:r w:rsidR="00C3054F">
        <w:t>1C</w:t>
      </w:r>
      <w:r w:rsidR="00957946" w:rsidRPr="006D767A">
        <w:t xml:space="preserve"> and </w:t>
      </w:r>
      <w:r w:rsidR="00C3054F">
        <w:t>1D</w:t>
      </w:r>
      <w:r w:rsidR="00957946" w:rsidRPr="006D767A">
        <w:t xml:space="preserve">) </w:t>
      </w:r>
      <w:r w:rsidR="002651A8" w:rsidRPr="006D767A">
        <w:t xml:space="preserve">may not present themselves for consideration in subsequent Calls for </w:t>
      </w:r>
      <w:r w:rsidR="003F5128">
        <w:t xml:space="preserve">Service </w:t>
      </w:r>
      <w:r w:rsidR="003F5128" w:rsidRPr="006D767A">
        <w:t>issued</w:t>
      </w:r>
      <w:r w:rsidR="005E1300">
        <w:t xml:space="preserve"> by the MDB </w:t>
      </w:r>
      <w:r w:rsidR="002651A8" w:rsidRPr="006D767A">
        <w:t>unless it is specifically evidence</w:t>
      </w:r>
      <w:r w:rsidR="008A64CB">
        <w:t>d</w:t>
      </w:r>
      <w:r w:rsidR="002651A8" w:rsidRPr="006D767A">
        <w:t xml:space="preserve"> that the reason for the exclusion no longer exits.</w:t>
      </w:r>
    </w:p>
    <w:p w14:paraId="26593CBA" w14:textId="77777777" w:rsidR="002651A8" w:rsidRPr="006D767A" w:rsidRDefault="002651A8" w:rsidP="00723B58">
      <w:pPr>
        <w:jc w:val="both"/>
      </w:pPr>
    </w:p>
    <w:p w14:paraId="487B6112" w14:textId="5ECF56C1" w:rsidR="002651A8" w:rsidRPr="006D767A" w:rsidRDefault="002651A8" w:rsidP="00723B58">
      <w:pPr>
        <w:jc w:val="both"/>
      </w:pPr>
      <w:r w:rsidRPr="006D767A">
        <w:t xml:space="preserve">The </w:t>
      </w:r>
      <w:r w:rsidR="00C7454B">
        <w:t>expiry</w:t>
      </w:r>
      <w:r w:rsidR="00C7454B" w:rsidRPr="006D767A">
        <w:t xml:space="preserve"> </w:t>
      </w:r>
      <w:r w:rsidRPr="006D767A">
        <w:t xml:space="preserve">of the Deadline shall not prevent </w:t>
      </w:r>
      <w:r w:rsidR="005E1300">
        <w:t xml:space="preserve">the </w:t>
      </w:r>
      <w:r w:rsidR="00684011" w:rsidRPr="006D767A">
        <w:t>MDB,</w:t>
      </w:r>
      <w:r w:rsidRPr="006D767A">
        <w:t xml:space="preserve"> in limited cases if deemed necessary, from requesting and receiving from Applicants clarifications on issues of mere technical or formal nature, provided that such clarifications shall neither provide an opportunity to the respective Applicants to unduly improve their applications nor otherwise distort the competition between the Applicants.</w:t>
      </w:r>
    </w:p>
    <w:p w14:paraId="4047BD8A" w14:textId="77777777" w:rsidR="00C92DC6" w:rsidRPr="006D767A" w:rsidRDefault="00C92DC6" w:rsidP="00723B58">
      <w:pPr>
        <w:jc w:val="both"/>
      </w:pPr>
    </w:p>
    <w:p w14:paraId="1B3F3459" w14:textId="7FF102C5" w:rsidR="00C92DC6" w:rsidRPr="006D767A" w:rsidRDefault="00C92DC6" w:rsidP="00723B58">
      <w:pPr>
        <w:jc w:val="both"/>
      </w:pPr>
      <w:r w:rsidRPr="006D767A">
        <w:t xml:space="preserve">Applicants which are not excluded according to the </w:t>
      </w:r>
      <w:r w:rsidR="00AC5EF5">
        <w:t>Selection</w:t>
      </w:r>
      <w:r w:rsidR="00AC5EF5" w:rsidRPr="006D767A">
        <w:t xml:space="preserve"> </w:t>
      </w:r>
      <w:r w:rsidRPr="006D767A">
        <w:t xml:space="preserve">Criteria will </w:t>
      </w:r>
      <w:r w:rsidR="002C1561">
        <w:t>continue to be assessed</w:t>
      </w:r>
      <w:r w:rsidR="00AC6865">
        <w:t xml:space="preserve"> in terms of</w:t>
      </w:r>
      <w:r w:rsidRPr="006D767A">
        <w:t xml:space="preserve"> the</w:t>
      </w:r>
      <w:r w:rsidR="00684011" w:rsidRPr="006D767A">
        <w:t xml:space="preserve"> MDB</w:t>
      </w:r>
      <w:r w:rsidR="00BD70C7">
        <w:t>’s</w:t>
      </w:r>
      <w:r w:rsidRPr="006D767A">
        <w:t xml:space="preserve"> selection process based on the </w:t>
      </w:r>
      <w:r w:rsidR="000303B0">
        <w:t>Award</w:t>
      </w:r>
      <w:r w:rsidRPr="006D767A">
        <w:t xml:space="preserve"> Criteria. The further selection based on the </w:t>
      </w:r>
      <w:r w:rsidR="001900C5">
        <w:t>Award</w:t>
      </w:r>
      <w:r w:rsidRPr="006D767A">
        <w:t xml:space="preserve"> Criteria</w:t>
      </w:r>
      <w:r w:rsidR="000303B0">
        <w:t xml:space="preserve"> assessment</w:t>
      </w:r>
      <w:r w:rsidRPr="006D767A">
        <w:t xml:space="preserve">, and the due diligence process if any, </w:t>
      </w:r>
      <w:r w:rsidR="00857CFF">
        <w:t xml:space="preserve">will </w:t>
      </w:r>
      <w:r w:rsidRPr="006D767A">
        <w:t xml:space="preserve">follow the standard procedures and guidelines applied by </w:t>
      </w:r>
      <w:r w:rsidR="008A64CB">
        <w:t xml:space="preserve">the </w:t>
      </w:r>
      <w:r w:rsidR="00684011" w:rsidRPr="006D767A">
        <w:t>MDB</w:t>
      </w:r>
      <w:r w:rsidRPr="006D767A">
        <w:t xml:space="preserve"> to its business. The Evaluation of proposals at this phase will be conducted under competitive terms and it is envisaged to select one</w:t>
      </w:r>
      <w:r w:rsidR="00C3054F">
        <w:t xml:space="preserve"> or more</w:t>
      </w:r>
      <w:r w:rsidRPr="006D767A">
        <w:t xml:space="preserve"> Applicant</w:t>
      </w:r>
      <w:r w:rsidR="00C3054F">
        <w:t>s</w:t>
      </w:r>
      <w:r w:rsidRPr="006D767A">
        <w:t xml:space="preserve">. </w:t>
      </w:r>
      <w:bookmarkStart w:id="6" w:name="_Hlk7430701"/>
      <w:r w:rsidR="005E4D9D">
        <w:t>It is t</w:t>
      </w:r>
      <w:r w:rsidRPr="006D767A">
        <w:t xml:space="preserve">o be noted that in the context of the </w:t>
      </w:r>
      <w:r w:rsidR="00FF06BA">
        <w:t xml:space="preserve">selection and </w:t>
      </w:r>
      <w:r w:rsidRPr="006D767A">
        <w:t>due diligence process</w:t>
      </w:r>
      <w:r w:rsidR="00FA30B4" w:rsidRPr="001F260A">
        <w:t>, the</w:t>
      </w:r>
      <w:r w:rsidRPr="001F260A">
        <w:t xml:space="preserve"> </w:t>
      </w:r>
      <w:r w:rsidR="000C2FA0" w:rsidRPr="001F260A">
        <w:t>MDB</w:t>
      </w:r>
      <w:r w:rsidRPr="001F260A">
        <w:t xml:space="preserve"> may </w:t>
      </w:r>
      <w:r w:rsidR="00743305" w:rsidRPr="001F260A">
        <w:t>engage in negotiations</w:t>
      </w:r>
      <w:r w:rsidRPr="006D767A">
        <w:t xml:space="preserve"> </w:t>
      </w:r>
      <w:r w:rsidR="00761945">
        <w:t>with a</w:t>
      </w:r>
      <w:r w:rsidRPr="006D767A">
        <w:t xml:space="preserve"> view </w:t>
      </w:r>
      <w:r w:rsidR="004A5C99">
        <w:t xml:space="preserve">to </w:t>
      </w:r>
      <w:r w:rsidRPr="006D767A">
        <w:t xml:space="preserve">specifically </w:t>
      </w:r>
      <w:r w:rsidR="004A5C99">
        <w:t>improve</w:t>
      </w:r>
      <w:r w:rsidRPr="006D767A">
        <w:t xml:space="preserve"> the access to finance for the benefit of the </w:t>
      </w:r>
      <w:bookmarkEnd w:id="6"/>
      <w:r w:rsidR="008404F2">
        <w:t>Eligible S</w:t>
      </w:r>
      <w:r w:rsidRPr="006D767A">
        <w:t>tudent</w:t>
      </w:r>
      <w:r w:rsidR="004538B7">
        <w:t>s</w:t>
      </w:r>
      <w:r w:rsidR="00A61539">
        <w:t>, subject that such negotiations will not change the ranking of the applicants as determined by the objectives Award Criteria as specified in Annex 2</w:t>
      </w:r>
      <w:r w:rsidRPr="006D767A">
        <w:t>.</w:t>
      </w:r>
    </w:p>
    <w:p w14:paraId="62C7EC4F" w14:textId="77777777" w:rsidR="00C92DC6" w:rsidRPr="006D767A" w:rsidRDefault="00C92DC6" w:rsidP="00723B58">
      <w:pPr>
        <w:jc w:val="both"/>
      </w:pPr>
    </w:p>
    <w:p w14:paraId="2AC17276" w14:textId="3807C3FE" w:rsidR="00C92DC6" w:rsidRPr="006D767A" w:rsidRDefault="00C92DC6" w:rsidP="00723B58">
      <w:pPr>
        <w:jc w:val="both"/>
      </w:pPr>
      <w:r w:rsidRPr="006D767A">
        <w:t xml:space="preserve">In any phase of the selection process, </w:t>
      </w:r>
      <w:r w:rsidR="00DF778A">
        <w:t xml:space="preserve">the </w:t>
      </w:r>
      <w:r w:rsidR="00684011" w:rsidRPr="006D767A">
        <w:t>MDB</w:t>
      </w:r>
      <w:r w:rsidRPr="006D767A">
        <w:t xml:space="preserve"> reserves full discretion to consider</w:t>
      </w:r>
      <w:r w:rsidR="003E5860">
        <w:t xml:space="preserve"> the</w:t>
      </w:r>
      <w:r w:rsidRPr="006D767A">
        <w:t xml:space="preserve"> </w:t>
      </w:r>
      <w:r w:rsidR="00957946" w:rsidRPr="006D767A">
        <w:t>Financial</w:t>
      </w:r>
      <w:r w:rsidRPr="006D767A">
        <w:t xml:space="preserve"> </w:t>
      </w:r>
      <w:r w:rsidR="008015E9" w:rsidRPr="006D767A">
        <w:t>Institution</w:t>
      </w:r>
      <w:r w:rsidR="003E5860">
        <w:t>/</w:t>
      </w:r>
      <w:r w:rsidR="008015E9" w:rsidRPr="006D767A">
        <w:t>s</w:t>
      </w:r>
      <w:r w:rsidR="003E5860">
        <w:t xml:space="preserve"> who will be managing the scheme</w:t>
      </w:r>
      <w:r w:rsidRPr="006D767A">
        <w:t xml:space="preserve"> and </w:t>
      </w:r>
      <w:r w:rsidR="009F38D6">
        <w:t>n</w:t>
      </w:r>
      <w:r w:rsidRPr="006D767A">
        <w:t>o Applicant has any claim or other right or may expect to be ultimately selec</w:t>
      </w:r>
      <w:r w:rsidR="00684011" w:rsidRPr="006D767A">
        <w:t>ted</w:t>
      </w:r>
      <w:r w:rsidR="006A76D4">
        <w:t>.</w:t>
      </w:r>
      <w:r w:rsidRPr="006D767A">
        <w:t xml:space="preserve"> </w:t>
      </w:r>
      <w:r w:rsidR="00AC5EF5">
        <w:t xml:space="preserve">The non-selected Applicants are not entitled to any form of compensation for not being selected.  The MDB will reserve the right to cancel the Call for </w:t>
      </w:r>
      <w:r w:rsidR="006D541E">
        <w:t xml:space="preserve">Service </w:t>
      </w:r>
      <w:r w:rsidR="00AC5EF5">
        <w:t xml:space="preserve">at any time </w:t>
      </w:r>
      <w:r w:rsidR="009979DB">
        <w:t>without notice</w:t>
      </w:r>
      <w:r w:rsidR="00AC5EF5">
        <w:t xml:space="preserve">. </w:t>
      </w:r>
      <w:r w:rsidRPr="006D767A">
        <w:t xml:space="preserve">Any negotiation of terms and conditions of Operational Agreements </w:t>
      </w:r>
      <w:r w:rsidR="008A64CB">
        <w:t>sha</w:t>
      </w:r>
      <w:r w:rsidR="001C44F5">
        <w:t>ll</w:t>
      </w:r>
      <w:r w:rsidR="000002BB">
        <w:t xml:space="preserve"> </w:t>
      </w:r>
      <w:r w:rsidRPr="006D767A">
        <w:t xml:space="preserve">by no means entail any obligation for the </w:t>
      </w:r>
      <w:r w:rsidR="00684011" w:rsidRPr="006D767A">
        <w:t xml:space="preserve">MDB </w:t>
      </w:r>
      <w:r w:rsidRPr="006D767A">
        <w:t xml:space="preserve">to enter into such Operational </w:t>
      </w:r>
      <w:r w:rsidR="009F38D6">
        <w:t>A</w:t>
      </w:r>
      <w:r w:rsidRPr="006D767A">
        <w:t xml:space="preserve">greement with the relevant Financial </w:t>
      </w:r>
      <w:r w:rsidR="008015E9" w:rsidRPr="006D767A">
        <w:t>Institution</w:t>
      </w:r>
      <w:r w:rsidR="00912D5A">
        <w:t>/s</w:t>
      </w:r>
      <w:r w:rsidRPr="006D767A">
        <w:t>.</w:t>
      </w:r>
    </w:p>
    <w:p w14:paraId="5A50D196" w14:textId="77777777" w:rsidR="00C92DC6" w:rsidRPr="006D767A" w:rsidRDefault="00C92DC6" w:rsidP="00723B58">
      <w:pPr>
        <w:jc w:val="both"/>
      </w:pPr>
    </w:p>
    <w:p w14:paraId="69855496" w14:textId="0434A0B7" w:rsidR="00C92DC6" w:rsidRPr="006D767A" w:rsidRDefault="008A64CB" w:rsidP="00723B58">
      <w:pPr>
        <w:jc w:val="both"/>
      </w:pPr>
      <w:r w:rsidRPr="006D767A">
        <w:t xml:space="preserve">Those </w:t>
      </w:r>
      <w:r>
        <w:t>A</w:t>
      </w:r>
      <w:r w:rsidRPr="006D767A">
        <w:t xml:space="preserve">pplicants whose </w:t>
      </w:r>
      <w:r w:rsidR="00C36002">
        <w:t>Call for Service</w:t>
      </w:r>
      <w:r w:rsidRPr="006D767A">
        <w:t xml:space="preserve"> is rejected</w:t>
      </w:r>
      <w:r w:rsidR="00ED5A7E">
        <w:t>,</w:t>
      </w:r>
      <w:r w:rsidRPr="006D767A">
        <w:t xml:space="preserve"> </w:t>
      </w:r>
      <w:r w:rsidR="00BD70C7">
        <w:t>will be</w:t>
      </w:r>
      <w:r w:rsidR="00BD70C7" w:rsidRPr="006D767A">
        <w:t xml:space="preserve"> </w:t>
      </w:r>
      <w:r w:rsidR="00C92DC6" w:rsidRPr="006D767A">
        <w:t xml:space="preserve">informed accordingly; the reason for their </w:t>
      </w:r>
      <w:r w:rsidR="00C36002">
        <w:t>Call for Service</w:t>
      </w:r>
      <w:r w:rsidR="00C92DC6" w:rsidRPr="006D767A">
        <w:t xml:space="preserve"> being rejected will be clearly communicated to them upon request.</w:t>
      </w:r>
      <w:r w:rsidR="00AC5EF5">
        <w:t xml:space="preserve"> </w:t>
      </w:r>
    </w:p>
    <w:p w14:paraId="3B0AEA51" w14:textId="77777777" w:rsidR="00C92DC6" w:rsidRPr="006D767A" w:rsidRDefault="00C92DC6" w:rsidP="00723B58">
      <w:pPr>
        <w:jc w:val="both"/>
      </w:pPr>
    </w:p>
    <w:p w14:paraId="152307A7" w14:textId="4978491B" w:rsidR="00F80FBE" w:rsidRPr="006D767A" w:rsidRDefault="0009756B" w:rsidP="00723B58">
      <w:pPr>
        <w:jc w:val="both"/>
      </w:pPr>
      <w:r>
        <w:t>MDB will reserve the right to keep a reserve list</w:t>
      </w:r>
      <w:r w:rsidR="00A61539">
        <w:t xml:space="preserve"> of Financial Institutions as defined in note 1 of Annex 2.</w:t>
      </w:r>
    </w:p>
    <w:p w14:paraId="7BE4AD09" w14:textId="3551A2C8" w:rsidR="00A17197" w:rsidRDefault="00A17197">
      <w:pPr>
        <w:rPr>
          <w:b/>
        </w:rPr>
      </w:pPr>
    </w:p>
    <w:p w14:paraId="7BE9613D" w14:textId="10D5FA01" w:rsidR="00C92DC6" w:rsidRDefault="00DD54E8" w:rsidP="004E23D1">
      <w:pPr>
        <w:jc w:val="both"/>
        <w:rPr>
          <w:b/>
        </w:rPr>
      </w:pPr>
      <w:r>
        <w:rPr>
          <w:b/>
        </w:rPr>
        <w:t>Part VII</w:t>
      </w:r>
      <w:r w:rsidR="00F13BE4">
        <w:rPr>
          <w:b/>
        </w:rPr>
        <w:t>I</w:t>
      </w:r>
      <w:r>
        <w:rPr>
          <w:b/>
        </w:rPr>
        <w:t xml:space="preserve">: </w:t>
      </w:r>
      <w:r w:rsidR="00C92DC6" w:rsidRPr="001C44F5">
        <w:rPr>
          <w:b/>
        </w:rPr>
        <w:t>Operational provisions</w:t>
      </w:r>
    </w:p>
    <w:p w14:paraId="25138CF8" w14:textId="77777777" w:rsidR="00DE2A6A" w:rsidRPr="001C44F5" w:rsidRDefault="00DE2A6A" w:rsidP="001C44F5">
      <w:pPr>
        <w:ind w:left="284"/>
        <w:jc w:val="both"/>
        <w:rPr>
          <w:b/>
        </w:rPr>
      </w:pPr>
    </w:p>
    <w:p w14:paraId="43445D9E" w14:textId="34CE2FAD" w:rsidR="00C92DC6" w:rsidRPr="006D767A" w:rsidRDefault="00C92DC6" w:rsidP="00723B58">
      <w:pPr>
        <w:jc w:val="both"/>
      </w:pPr>
      <w:r w:rsidRPr="006D767A">
        <w:t xml:space="preserve">The </w:t>
      </w:r>
      <w:r w:rsidR="00C82C90">
        <w:t xml:space="preserve">selected </w:t>
      </w:r>
      <w:r w:rsidRPr="006D767A">
        <w:t xml:space="preserve">Financial </w:t>
      </w:r>
      <w:r w:rsidR="008015E9" w:rsidRPr="006D767A">
        <w:t>Institution</w:t>
      </w:r>
      <w:r w:rsidR="00664D86">
        <w:t>/s</w:t>
      </w:r>
      <w:r w:rsidRPr="006D767A">
        <w:t xml:space="preserve"> </w:t>
      </w:r>
      <w:r w:rsidR="00327A90" w:rsidRPr="006D767A">
        <w:t xml:space="preserve">shall be required to </w:t>
      </w:r>
      <w:r w:rsidR="00327A90">
        <w:t>sign an</w:t>
      </w:r>
      <w:r w:rsidRPr="006D767A">
        <w:t xml:space="preserve"> Operational Agreement </w:t>
      </w:r>
      <w:r w:rsidR="00327A90">
        <w:t xml:space="preserve">with the MDB and </w:t>
      </w:r>
      <w:r w:rsidRPr="006D767A">
        <w:t xml:space="preserve">will be required to comply </w:t>
      </w:r>
      <w:r w:rsidR="003F5128" w:rsidRPr="006D767A">
        <w:t>with European</w:t>
      </w:r>
      <w:r w:rsidR="00893B0A">
        <w:t xml:space="preserve"> Anti-Fraud Office (OLAF) Regulation as may be amended</w:t>
      </w:r>
      <w:r w:rsidR="00893B0A" w:rsidRPr="006D767A">
        <w:t xml:space="preserve"> </w:t>
      </w:r>
      <w:r w:rsidR="00D970DA">
        <w:t xml:space="preserve">from time to time </w:t>
      </w:r>
      <w:r w:rsidR="00EF34BE" w:rsidRPr="006D767A">
        <w:t xml:space="preserve">and with the relevant monitoring, reporting, </w:t>
      </w:r>
      <w:r w:rsidR="00D970DA">
        <w:t>visibility</w:t>
      </w:r>
      <w:r w:rsidR="00D970DA" w:rsidRPr="006D767A">
        <w:t xml:space="preserve"> </w:t>
      </w:r>
      <w:r w:rsidR="00EF34BE" w:rsidRPr="006D767A">
        <w:t>and auditing obligations required by the EU regulations and ES</w:t>
      </w:r>
      <w:r w:rsidR="00BC6D82">
        <w:t>I</w:t>
      </w:r>
      <w:r w:rsidR="00EF34BE" w:rsidRPr="006D767A">
        <w:t>F management and control system.</w:t>
      </w:r>
      <w:r w:rsidR="00430053" w:rsidRPr="006D767A">
        <w:t xml:space="preserve"> Kindly refer to (EU) no. 821/2014 for the application of Regulation (EU) no. 1303/2013</w:t>
      </w:r>
      <w:r w:rsidR="00430053" w:rsidRPr="006D767A">
        <w:rPr>
          <w:rStyle w:val="FootnoteReference"/>
        </w:rPr>
        <w:footnoteReference w:id="2"/>
      </w:r>
      <w:r w:rsidR="00430053" w:rsidRPr="006D767A">
        <w:t>.</w:t>
      </w:r>
      <w:r w:rsidR="00EF34BE" w:rsidRPr="006D767A">
        <w:t xml:space="preserve"> Such obligations are briefly described in the relevant </w:t>
      </w:r>
      <w:r w:rsidR="00375489">
        <w:t xml:space="preserve">FI </w:t>
      </w:r>
      <w:r w:rsidR="00EF34BE" w:rsidRPr="006D767A">
        <w:t xml:space="preserve">description </w:t>
      </w:r>
      <w:r w:rsidR="00430053" w:rsidRPr="006D767A">
        <w:t>documents and</w:t>
      </w:r>
      <w:r w:rsidR="00EF34BE" w:rsidRPr="006D767A">
        <w:t xml:space="preserve"> will be defined in the relevant Operational Agreement.</w:t>
      </w:r>
    </w:p>
    <w:p w14:paraId="21CA85AD" w14:textId="7176F2E5" w:rsidR="003F19C8" w:rsidRDefault="003F19C8" w:rsidP="00723B58">
      <w:pPr>
        <w:jc w:val="both"/>
      </w:pPr>
    </w:p>
    <w:p w14:paraId="7B512C1B" w14:textId="77777777" w:rsidR="003F19C8" w:rsidRDefault="003F19C8" w:rsidP="00723B58">
      <w:pPr>
        <w:jc w:val="both"/>
      </w:pPr>
    </w:p>
    <w:p w14:paraId="77998A2A" w14:textId="6D93D6A5" w:rsidR="00127D1E" w:rsidRDefault="00127D1E" w:rsidP="00127D1E">
      <w:pPr>
        <w:jc w:val="both"/>
        <w:rPr>
          <w:b/>
          <w:i/>
        </w:rPr>
      </w:pPr>
      <w:r w:rsidRPr="006D767A">
        <w:rPr>
          <w:b/>
          <w:i/>
        </w:rPr>
        <w:t xml:space="preserve">General </w:t>
      </w:r>
      <w:r w:rsidR="00E350FA">
        <w:rPr>
          <w:b/>
          <w:i/>
        </w:rPr>
        <w:t xml:space="preserve">Definitions and </w:t>
      </w:r>
      <w:r w:rsidR="00814307">
        <w:rPr>
          <w:b/>
          <w:i/>
        </w:rPr>
        <w:t>C</w:t>
      </w:r>
      <w:r w:rsidRPr="006D767A">
        <w:rPr>
          <w:b/>
          <w:i/>
        </w:rPr>
        <w:t xml:space="preserve">onditions of </w:t>
      </w:r>
      <w:r w:rsidR="00391091">
        <w:rPr>
          <w:b/>
          <w:i/>
        </w:rPr>
        <w:t xml:space="preserve">the </w:t>
      </w:r>
      <w:r w:rsidRPr="006D767A">
        <w:rPr>
          <w:b/>
          <w:i/>
        </w:rPr>
        <w:t>F</w:t>
      </w:r>
      <w:r w:rsidR="00D970DA">
        <w:rPr>
          <w:b/>
          <w:i/>
        </w:rPr>
        <w:t>I</w:t>
      </w:r>
      <w:r w:rsidRPr="006D767A">
        <w:rPr>
          <w:b/>
          <w:i/>
        </w:rPr>
        <w:t>:</w:t>
      </w:r>
    </w:p>
    <w:p w14:paraId="074C3AE7" w14:textId="127C6C63" w:rsidR="00391091" w:rsidRDefault="00391091" w:rsidP="00127D1E">
      <w:pPr>
        <w:jc w:val="both"/>
        <w:rPr>
          <w:b/>
          <w:i/>
        </w:rPr>
      </w:pPr>
    </w:p>
    <w:tbl>
      <w:tblPr>
        <w:tblStyle w:val="TableGrid"/>
        <w:tblW w:w="0" w:type="auto"/>
        <w:tblLook w:val="04A0" w:firstRow="1" w:lastRow="0" w:firstColumn="1" w:lastColumn="0" w:noHBand="0" w:noVBand="1"/>
      </w:tblPr>
      <w:tblGrid>
        <w:gridCol w:w="2547"/>
        <w:gridCol w:w="6469"/>
      </w:tblGrid>
      <w:tr w:rsidR="009C5AB6" w:rsidRPr="006D767A" w14:paraId="3F368151" w14:textId="77777777" w:rsidTr="002F7F31">
        <w:tc>
          <w:tcPr>
            <w:tcW w:w="2547" w:type="dxa"/>
          </w:tcPr>
          <w:p w14:paraId="37730FD3" w14:textId="5E146591" w:rsidR="009C5AB6" w:rsidRPr="00FE76CC" w:rsidRDefault="009C5AB6" w:rsidP="00F92230">
            <w:pPr>
              <w:spacing w:before="120" w:after="120"/>
              <w:jc w:val="both"/>
              <w:rPr>
                <w:b/>
              </w:rPr>
            </w:pPr>
            <w:r w:rsidRPr="00FE76CC">
              <w:rPr>
                <w:b/>
              </w:rPr>
              <w:t>FSMA</w:t>
            </w:r>
          </w:p>
        </w:tc>
        <w:tc>
          <w:tcPr>
            <w:tcW w:w="6469" w:type="dxa"/>
          </w:tcPr>
          <w:p w14:paraId="5432E2E0" w14:textId="75B7A905" w:rsidR="009C5AB6" w:rsidRDefault="009C5AB6" w:rsidP="00F92230">
            <w:pPr>
              <w:pStyle w:val="ListParagraph"/>
              <w:spacing w:before="120" w:after="120"/>
              <w:ind w:left="40" w:hanging="12"/>
              <w:contextualSpacing w:val="0"/>
              <w:jc w:val="both"/>
            </w:pPr>
            <w:r w:rsidRPr="006D767A">
              <w:t xml:space="preserve">means </w:t>
            </w:r>
            <w:r w:rsidRPr="00570322">
              <w:t>“Further Studies Made Affordable”</w:t>
            </w:r>
            <w:r w:rsidRPr="00DD5C35">
              <w:t xml:space="preserve"> </w:t>
            </w:r>
            <w:r w:rsidRPr="006D767A">
              <w:t xml:space="preserve">launched by the </w:t>
            </w:r>
            <w:r>
              <w:t>MA</w:t>
            </w:r>
            <w:r w:rsidRPr="006D767A">
              <w:t xml:space="preserve"> under the </w:t>
            </w:r>
            <w:r>
              <w:t xml:space="preserve">OPII and </w:t>
            </w:r>
            <w:r w:rsidRPr="006D767A">
              <w:t xml:space="preserve">ESF </w:t>
            </w:r>
            <w:r>
              <w:t xml:space="preserve">programmes in collaboration with the Ministry for Education and Employment </w:t>
            </w:r>
            <w:proofErr w:type="gramStart"/>
            <w:r w:rsidRPr="006D767A">
              <w:t>in order to</w:t>
            </w:r>
            <w:proofErr w:type="gramEnd"/>
            <w:r w:rsidRPr="006D767A">
              <w:t xml:space="preserve"> promote increased access to finance for </w:t>
            </w:r>
            <w:r>
              <w:t xml:space="preserve">Eligible </w:t>
            </w:r>
            <w:r w:rsidRPr="006D767A">
              <w:t xml:space="preserve">Students to further their studies </w:t>
            </w:r>
            <w:r>
              <w:t>in Malta or abroad.</w:t>
            </w:r>
          </w:p>
        </w:tc>
      </w:tr>
      <w:tr w:rsidR="002F7F31" w:rsidRPr="006D767A" w14:paraId="2CB5E8DF" w14:textId="77777777" w:rsidTr="002F7F31">
        <w:tc>
          <w:tcPr>
            <w:tcW w:w="2547" w:type="dxa"/>
          </w:tcPr>
          <w:p w14:paraId="2B0F0284" w14:textId="36817FC3" w:rsidR="002F7F31" w:rsidRPr="00FE76CC" w:rsidRDefault="002F7F31" w:rsidP="00F92230">
            <w:pPr>
              <w:spacing w:before="120" w:after="120"/>
              <w:jc w:val="both"/>
              <w:rPr>
                <w:b/>
              </w:rPr>
            </w:pPr>
            <w:r w:rsidRPr="00FE76CC">
              <w:rPr>
                <w:b/>
              </w:rPr>
              <w:t>ESF</w:t>
            </w:r>
          </w:p>
        </w:tc>
        <w:tc>
          <w:tcPr>
            <w:tcW w:w="6469" w:type="dxa"/>
          </w:tcPr>
          <w:p w14:paraId="79E04B4E" w14:textId="50D4ED98" w:rsidR="002F7F31" w:rsidRDefault="00E350FA" w:rsidP="00F92230">
            <w:pPr>
              <w:pStyle w:val="ListParagraph"/>
              <w:spacing w:before="120" w:after="120"/>
              <w:ind w:left="40" w:hanging="12"/>
              <w:contextualSpacing w:val="0"/>
              <w:jc w:val="both"/>
            </w:pPr>
            <w:r>
              <w:t xml:space="preserve">means the </w:t>
            </w:r>
            <w:r w:rsidR="002F7F31" w:rsidRPr="006D767A">
              <w:t>European Social Fund</w:t>
            </w:r>
            <w:r w:rsidR="00C7454B">
              <w:t>.</w:t>
            </w:r>
          </w:p>
        </w:tc>
      </w:tr>
      <w:tr w:rsidR="002F7F31" w:rsidRPr="006D767A" w14:paraId="30BD5515" w14:textId="77777777" w:rsidTr="002F7F31">
        <w:tc>
          <w:tcPr>
            <w:tcW w:w="2547" w:type="dxa"/>
          </w:tcPr>
          <w:p w14:paraId="2031F4A3" w14:textId="224606F6" w:rsidR="002F7F31" w:rsidRPr="00FE76CC" w:rsidRDefault="002F7F31" w:rsidP="00F92230">
            <w:pPr>
              <w:spacing w:before="120" w:after="120"/>
              <w:jc w:val="both"/>
              <w:rPr>
                <w:b/>
              </w:rPr>
            </w:pPr>
            <w:r w:rsidRPr="00FE76CC">
              <w:rPr>
                <w:b/>
              </w:rPr>
              <w:t>MDB</w:t>
            </w:r>
          </w:p>
        </w:tc>
        <w:tc>
          <w:tcPr>
            <w:tcW w:w="6469" w:type="dxa"/>
          </w:tcPr>
          <w:p w14:paraId="3782D1F4" w14:textId="13ABBE68" w:rsidR="002F7F31" w:rsidRDefault="00E350FA" w:rsidP="00F92230">
            <w:pPr>
              <w:pStyle w:val="ListParagraph"/>
              <w:spacing w:before="120" w:after="120"/>
              <w:ind w:left="40" w:hanging="12"/>
              <w:contextualSpacing w:val="0"/>
              <w:jc w:val="both"/>
            </w:pPr>
            <w:r>
              <w:t xml:space="preserve">means the </w:t>
            </w:r>
            <w:r w:rsidR="002F7F31" w:rsidRPr="006D767A">
              <w:t>Malta Development Bank</w:t>
            </w:r>
            <w:r w:rsidR="00C7454B">
              <w:t>.</w:t>
            </w:r>
          </w:p>
        </w:tc>
      </w:tr>
      <w:tr w:rsidR="002F7F31" w:rsidRPr="006D767A" w14:paraId="00551588" w14:textId="77777777" w:rsidTr="002F7F31">
        <w:tc>
          <w:tcPr>
            <w:tcW w:w="2547" w:type="dxa"/>
          </w:tcPr>
          <w:p w14:paraId="524D3437" w14:textId="79B530EE" w:rsidR="002F7F31" w:rsidRPr="00FE76CC" w:rsidRDefault="00C36002" w:rsidP="00F92230">
            <w:pPr>
              <w:spacing w:before="120" w:after="120"/>
              <w:jc w:val="both"/>
              <w:rPr>
                <w:b/>
              </w:rPr>
            </w:pPr>
            <w:r w:rsidRPr="00FE76CC">
              <w:rPr>
                <w:b/>
              </w:rPr>
              <w:t>Call for Service</w:t>
            </w:r>
          </w:p>
        </w:tc>
        <w:tc>
          <w:tcPr>
            <w:tcW w:w="6469" w:type="dxa"/>
          </w:tcPr>
          <w:p w14:paraId="76D91059" w14:textId="3EB45B9F" w:rsidR="002F7F31" w:rsidRDefault="002F7F31" w:rsidP="00F92230">
            <w:pPr>
              <w:pStyle w:val="ListParagraph"/>
              <w:spacing w:before="120" w:after="120"/>
              <w:ind w:left="40" w:hanging="12"/>
              <w:contextualSpacing w:val="0"/>
              <w:jc w:val="both"/>
            </w:pPr>
            <w:r w:rsidRPr="006D767A">
              <w:t xml:space="preserve">means a proposal sent by an Applicant in response to this Call for </w:t>
            </w:r>
            <w:r w:rsidR="006D541E">
              <w:t>Service</w:t>
            </w:r>
            <w:r w:rsidRPr="006D767A">
              <w:t>, within the Deadline, to be drafted in accordance with the Template attached hereto as Appendix 1</w:t>
            </w:r>
            <w:r w:rsidR="00C7454B">
              <w:t>.</w:t>
            </w:r>
          </w:p>
        </w:tc>
      </w:tr>
      <w:tr w:rsidR="002F7F31" w:rsidRPr="006D767A" w14:paraId="2F8EA24E" w14:textId="77777777" w:rsidTr="002F7F31">
        <w:tc>
          <w:tcPr>
            <w:tcW w:w="2547" w:type="dxa"/>
          </w:tcPr>
          <w:p w14:paraId="11E16D9F" w14:textId="582CD1C8" w:rsidR="002F7F31" w:rsidRPr="00FE76CC" w:rsidRDefault="002F7F31" w:rsidP="00F92230">
            <w:pPr>
              <w:spacing w:before="120" w:after="120"/>
              <w:jc w:val="both"/>
              <w:rPr>
                <w:b/>
              </w:rPr>
            </w:pPr>
            <w:r w:rsidRPr="00FE76CC">
              <w:rPr>
                <w:b/>
              </w:rPr>
              <w:t>Selection Criteria</w:t>
            </w:r>
          </w:p>
        </w:tc>
        <w:tc>
          <w:tcPr>
            <w:tcW w:w="6469" w:type="dxa"/>
          </w:tcPr>
          <w:p w14:paraId="10372B8E" w14:textId="79340958" w:rsidR="002F7F31" w:rsidRDefault="002F7F31" w:rsidP="00F92230">
            <w:pPr>
              <w:pStyle w:val="ListParagraph"/>
              <w:spacing w:before="120" w:after="120"/>
              <w:ind w:left="40" w:hanging="12"/>
              <w:contextualSpacing w:val="0"/>
              <w:jc w:val="both"/>
            </w:pPr>
            <w:r w:rsidRPr="006D767A">
              <w:t xml:space="preserve">means the criteria with which the Applicants must </w:t>
            </w:r>
            <w:r w:rsidR="002671DF" w:rsidRPr="006D767A">
              <w:t>comply,</w:t>
            </w:r>
            <w:r w:rsidRPr="006D767A">
              <w:t xml:space="preserve"> and which are listed in </w:t>
            </w:r>
            <w:r w:rsidRPr="002671DF">
              <w:rPr>
                <w:b/>
              </w:rPr>
              <w:t>Annex 1</w:t>
            </w:r>
            <w:r w:rsidR="00C7454B" w:rsidRPr="00C7454B">
              <w:t>.</w:t>
            </w:r>
          </w:p>
        </w:tc>
      </w:tr>
      <w:tr w:rsidR="002F7F31" w:rsidRPr="006D767A" w14:paraId="2AF0A902" w14:textId="77777777" w:rsidTr="002F7F31">
        <w:tc>
          <w:tcPr>
            <w:tcW w:w="2547" w:type="dxa"/>
          </w:tcPr>
          <w:p w14:paraId="29E5CD94" w14:textId="282C3A41" w:rsidR="002F7F31" w:rsidRPr="00FE76CC" w:rsidRDefault="002F7F31" w:rsidP="00F92230">
            <w:pPr>
              <w:spacing w:before="120" w:after="120"/>
              <w:jc w:val="both"/>
              <w:rPr>
                <w:b/>
              </w:rPr>
            </w:pPr>
            <w:r w:rsidRPr="00FE76CC">
              <w:rPr>
                <w:b/>
              </w:rPr>
              <w:t>Award Criteria</w:t>
            </w:r>
          </w:p>
        </w:tc>
        <w:tc>
          <w:tcPr>
            <w:tcW w:w="6469" w:type="dxa"/>
          </w:tcPr>
          <w:p w14:paraId="700C8253" w14:textId="7CCF2C2F" w:rsidR="002F7F31" w:rsidRDefault="002F7F31" w:rsidP="00F92230">
            <w:pPr>
              <w:pStyle w:val="ListParagraph"/>
              <w:spacing w:before="120" w:after="120"/>
              <w:ind w:left="40" w:hanging="12"/>
              <w:contextualSpacing w:val="0"/>
              <w:jc w:val="both"/>
            </w:pPr>
            <w:r w:rsidRPr="006D767A">
              <w:t>mean</w:t>
            </w:r>
            <w:r w:rsidR="00C7454B">
              <w:t>s</w:t>
            </w:r>
            <w:r w:rsidRPr="006D767A">
              <w:t xml:space="preserve"> the </w:t>
            </w:r>
            <w:r>
              <w:t xml:space="preserve">award criteria </w:t>
            </w:r>
            <w:r w:rsidRPr="004E0FAC">
              <w:t xml:space="preserve">assessment </w:t>
            </w:r>
            <w:r w:rsidRPr="00247BAC">
              <w:t>applied by the MDB</w:t>
            </w:r>
            <w:r w:rsidRPr="002F7F31">
              <w:t xml:space="preserve"> </w:t>
            </w:r>
            <w:proofErr w:type="gramStart"/>
            <w:r w:rsidRPr="00247BAC">
              <w:t>with regard to</w:t>
            </w:r>
            <w:proofErr w:type="gramEnd"/>
            <w:r w:rsidRPr="00247BAC">
              <w:t xml:space="preserve"> the suitability of the Applicant</w:t>
            </w:r>
            <w:r w:rsidRPr="006D767A">
              <w:t xml:space="preserve"> </w:t>
            </w:r>
            <w:r>
              <w:t>for the purpose of implementing</w:t>
            </w:r>
            <w:r w:rsidRPr="006D767A">
              <w:t xml:space="preserve"> the proposed </w:t>
            </w:r>
            <w:r>
              <w:t>FI. These criteria</w:t>
            </w:r>
            <w:r w:rsidRPr="006D767A">
              <w:t xml:space="preserve"> are listed in </w:t>
            </w:r>
            <w:r w:rsidRPr="002671DF">
              <w:rPr>
                <w:b/>
              </w:rPr>
              <w:t>Annex 2</w:t>
            </w:r>
            <w:r w:rsidR="00C7454B" w:rsidRPr="00C7454B">
              <w:t>.</w:t>
            </w:r>
          </w:p>
        </w:tc>
      </w:tr>
      <w:tr w:rsidR="00391091" w:rsidRPr="006D767A" w14:paraId="3823FAEF" w14:textId="77777777" w:rsidTr="002F7F31">
        <w:tc>
          <w:tcPr>
            <w:tcW w:w="2547" w:type="dxa"/>
          </w:tcPr>
          <w:p w14:paraId="4B784A47" w14:textId="77777777" w:rsidR="00391091" w:rsidRPr="00FE76CC" w:rsidRDefault="00391091" w:rsidP="00F92230">
            <w:pPr>
              <w:spacing w:before="120" w:after="120"/>
              <w:jc w:val="both"/>
              <w:rPr>
                <w:b/>
              </w:rPr>
            </w:pPr>
            <w:r w:rsidRPr="00FE76CC">
              <w:rPr>
                <w:b/>
              </w:rPr>
              <w:t xml:space="preserve">Applicant </w:t>
            </w:r>
          </w:p>
        </w:tc>
        <w:tc>
          <w:tcPr>
            <w:tcW w:w="6469" w:type="dxa"/>
          </w:tcPr>
          <w:p w14:paraId="60C67283" w14:textId="53400D78" w:rsidR="00391091" w:rsidRPr="006D767A" w:rsidRDefault="00C7454B" w:rsidP="00F92230">
            <w:pPr>
              <w:pStyle w:val="ListParagraph"/>
              <w:spacing w:before="120" w:after="120"/>
              <w:ind w:left="40" w:hanging="12"/>
              <w:contextualSpacing w:val="0"/>
              <w:jc w:val="both"/>
            </w:pPr>
            <w:r>
              <w:t xml:space="preserve">means </w:t>
            </w:r>
            <w:r w:rsidR="00391091">
              <w:t xml:space="preserve">an entity applying to this Call as a potential </w:t>
            </w:r>
            <w:r w:rsidR="00DE42C3">
              <w:t>F</w:t>
            </w:r>
            <w:r w:rsidR="00664D86">
              <w:t>inancial Institution</w:t>
            </w:r>
            <w:r>
              <w:t>.</w:t>
            </w:r>
          </w:p>
        </w:tc>
      </w:tr>
      <w:tr w:rsidR="00391091" w:rsidRPr="006D767A" w14:paraId="6E5690F1" w14:textId="77777777" w:rsidTr="002F7F31">
        <w:tc>
          <w:tcPr>
            <w:tcW w:w="2547" w:type="dxa"/>
          </w:tcPr>
          <w:p w14:paraId="575E7984" w14:textId="77777777" w:rsidR="00391091" w:rsidRPr="00FE76CC" w:rsidRDefault="00391091" w:rsidP="00F92230">
            <w:pPr>
              <w:spacing w:before="120" w:after="120"/>
              <w:jc w:val="both"/>
              <w:rPr>
                <w:b/>
              </w:rPr>
            </w:pPr>
            <w:r w:rsidRPr="00FE76CC">
              <w:rPr>
                <w:b/>
              </w:rPr>
              <w:t>Operational Agreement</w:t>
            </w:r>
          </w:p>
        </w:tc>
        <w:tc>
          <w:tcPr>
            <w:tcW w:w="6469" w:type="dxa"/>
          </w:tcPr>
          <w:p w14:paraId="5E689CDC" w14:textId="5B5188E3" w:rsidR="00391091" w:rsidRPr="006D767A" w:rsidRDefault="00C7454B" w:rsidP="00F92230">
            <w:pPr>
              <w:pStyle w:val="ListParagraph"/>
              <w:spacing w:before="120" w:after="120"/>
              <w:ind w:left="40" w:hanging="12"/>
              <w:contextualSpacing w:val="0"/>
              <w:jc w:val="both"/>
            </w:pPr>
            <w:r>
              <w:t xml:space="preserve">means </w:t>
            </w:r>
            <w:r w:rsidR="00391091">
              <w:t xml:space="preserve">an agreement </w:t>
            </w:r>
            <w:proofErr w:type="gramStart"/>
            <w:r w:rsidR="00391091">
              <w:t>entered into</w:t>
            </w:r>
            <w:proofErr w:type="gramEnd"/>
            <w:r w:rsidR="00391091">
              <w:t xml:space="preserve"> between a </w:t>
            </w:r>
            <w:r w:rsidR="001F55BD">
              <w:t>F</w:t>
            </w:r>
            <w:r w:rsidR="00664D86">
              <w:t xml:space="preserve">inancial </w:t>
            </w:r>
            <w:r w:rsidR="001F55BD">
              <w:t>I</w:t>
            </w:r>
            <w:r w:rsidR="00664D86">
              <w:t>nstitution</w:t>
            </w:r>
            <w:r w:rsidR="00391091">
              <w:t xml:space="preserve"> and the MDB in connection with the Facility.</w:t>
            </w:r>
          </w:p>
        </w:tc>
      </w:tr>
      <w:tr w:rsidR="00391091" w:rsidRPr="006D767A" w14:paraId="282CFC0F" w14:textId="77777777" w:rsidTr="001F55BD">
        <w:tc>
          <w:tcPr>
            <w:tcW w:w="2547" w:type="dxa"/>
            <w:shd w:val="clear" w:color="auto" w:fill="auto"/>
          </w:tcPr>
          <w:p w14:paraId="0A035268" w14:textId="79ABDF80" w:rsidR="00391091" w:rsidRPr="00FE76CC" w:rsidRDefault="00391091" w:rsidP="00F92230">
            <w:pPr>
              <w:spacing w:before="120" w:after="120"/>
              <w:jc w:val="both"/>
              <w:rPr>
                <w:b/>
              </w:rPr>
            </w:pPr>
            <w:r w:rsidRPr="00FE76CC">
              <w:rPr>
                <w:b/>
              </w:rPr>
              <w:t>Deadline</w:t>
            </w:r>
            <w:r w:rsidR="006D541E" w:rsidRPr="00FE76CC">
              <w:rPr>
                <w:b/>
              </w:rPr>
              <w:t xml:space="preserve"> for the submission of the Call of Service</w:t>
            </w:r>
          </w:p>
        </w:tc>
        <w:tc>
          <w:tcPr>
            <w:tcW w:w="6469" w:type="dxa"/>
            <w:shd w:val="clear" w:color="auto" w:fill="auto"/>
          </w:tcPr>
          <w:p w14:paraId="3C7D2624" w14:textId="61FD5390" w:rsidR="00391091" w:rsidRPr="0044409D" w:rsidRDefault="00C7454B" w:rsidP="00F92230">
            <w:pPr>
              <w:pStyle w:val="ListParagraph"/>
              <w:spacing w:before="120" w:after="120"/>
              <w:ind w:left="40" w:hanging="12"/>
              <w:contextualSpacing w:val="0"/>
              <w:jc w:val="both"/>
            </w:pPr>
            <w:r>
              <w:t>m</w:t>
            </w:r>
            <w:r w:rsidRPr="003F5128">
              <w:t xml:space="preserve">eans </w:t>
            </w:r>
            <w:r w:rsidR="006D541E" w:rsidRPr="003F5128">
              <w:t>26 Ju</w:t>
            </w:r>
            <w:r w:rsidR="00C3054F">
              <w:t>ly</w:t>
            </w:r>
            <w:r w:rsidR="00391091" w:rsidRPr="003F5128">
              <w:t xml:space="preserve"> 2019 or such different date as announced officially in MDB’s website.</w:t>
            </w:r>
          </w:p>
        </w:tc>
      </w:tr>
      <w:tr w:rsidR="00ED5A7E" w:rsidRPr="006D767A" w14:paraId="01F21B81" w14:textId="77777777" w:rsidTr="001F55BD">
        <w:tc>
          <w:tcPr>
            <w:tcW w:w="2547" w:type="dxa"/>
            <w:shd w:val="clear" w:color="auto" w:fill="auto"/>
          </w:tcPr>
          <w:p w14:paraId="78343A6D" w14:textId="3174B968" w:rsidR="00ED5A7E" w:rsidRPr="00FE76CC" w:rsidRDefault="00ED5A7E" w:rsidP="00F92230">
            <w:pPr>
              <w:spacing w:before="120" w:after="120"/>
              <w:jc w:val="both"/>
              <w:rPr>
                <w:b/>
              </w:rPr>
            </w:pPr>
            <w:r w:rsidRPr="00FE76CC">
              <w:rPr>
                <w:b/>
              </w:rPr>
              <w:t>Deadline for submission of Appeal</w:t>
            </w:r>
          </w:p>
        </w:tc>
        <w:tc>
          <w:tcPr>
            <w:tcW w:w="6469" w:type="dxa"/>
            <w:shd w:val="clear" w:color="auto" w:fill="auto"/>
          </w:tcPr>
          <w:p w14:paraId="06B251A0" w14:textId="5DEB7571" w:rsidR="00ED5A7E" w:rsidRPr="003F5128" w:rsidRDefault="00C7454B" w:rsidP="00F92230">
            <w:pPr>
              <w:pStyle w:val="ListParagraph"/>
              <w:spacing w:before="120" w:after="120"/>
              <w:ind w:left="40" w:hanging="12"/>
              <w:contextualSpacing w:val="0"/>
              <w:jc w:val="both"/>
            </w:pPr>
            <w:r>
              <w:t xml:space="preserve">means </w:t>
            </w:r>
            <w:r w:rsidR="00ED5A7E">
              <w:t xml:space="preserve">ten (10) calendar days from the date of the rejection </w:t>
            </w:r>
            <w:r w:rsidR="00AF0BDA">
              <w:t>letter to be sent</w:t>
            </w:r>
            <w:r w:rsidR="00ED5A7E">
              <w:t xml:space="preserve"> by MDB</w:t>
            </w:r>
            <w:r w:rsidR="00AF0BDA">
              <w:t xml:space="preserve"> or such different date as announced officially in MDB’s website.</w:t>
            </w:r>
          </w:p>
        </w:tc>
      </w:tr>
      <w:tr w:rsidR="00010E93" w:rsidRPr="006D767A" w14:paraId="0DB373E4" w14:textId="77777777" w:rsidTr="001F55BD">
        <w:tc>
          <w:tcPr>
            <w:tcW w:w="2547" w:type="dxa"/>
            <w:shd w:val="clear" w:color="auto" w:fill="auto"/>
          </w:tcPr>
          <w:p w14:paraId="75666B1A" w14:textId="3FCAF5C0" w:rsidR="00010E93" w:rsidRPr="00FE76CC" w:rsidRDefault="00010E93" w:rsidP="00F92230">
            <w:pPr>
              <w:spacing w:before="120" w:after="120"/>
              <w:jc w:val="both"/>
              <w:rPr>
                <w:b/>
              </w:rPr>
            </w:pPr>
            <w:r w:rsidRPr="00FE76CC">
              <w:rPr>
                <w:b/>
              </w:rPr>
              <w:t xml:space="preserve">Preferred tentative date for the launching of the FI </w:t>
            </w:r>
          </w:p>
        </w:tc>
        <w:tc>
          <w:tcPr>
            <w:tcW w:w="6469" w:type="dxa"/>
            <w:shd w:val="clear" w:color="auto" w:fill="auto"/>
          </w:tcPr>
          <w:p w14:paraId="7527AA0C" w14:textId="2D0558BA" w:rsidR="00010E93" w:rsidRPr="003F5128" w:rsidRDefault="00C7454B" w:rsidP="00F92230">
            <w:pPr>
              <w:pStyle w:val="ListParagraph"/>
              <w:spacing w:before="120" w:after="120"/>
              <w:ind w:left="40" w:hanging="12"/>
              <w:contextualSpacing w:val="0"/>
              <w:jc w:val="both"/>
            </w:pPr>
            <w:r>
              <w:t xml:space="preserve">means </w:t>
            </w:r>
            <w:r w:rsidR="00010E93">
              <w:t xml:space="preserve">during the </w:t>
            </w:r>
            <w:r w:rsidR="00C3054F">
              <w:t>first</w:t>
            </w:r>
            <w:r w:rsidR="00010E93">
              <w:t xml:space="preserve"> week of October 2019 or such different date as may be decided in the Operational Agreement.</w:t>
            </w:r>
          </w:p>
        </w:tc>
      </w:tr>
      <w:tr w:rsidR="00391091" w:rsidRPr="006D767A" w14:paraId="7DC6BDCA" w14:textId="77777777" w:rsidTr="002F7F31">
        <w:tc>
          <w:tcPr>
            <w:tcW w:w="2547" w:type="dxa"/>
          </w:tcPr>
          <w:p w14:paraId="54D11D9A" w14:textId="77777777" w:rsidR="00391091" w:rsidRPr="00FE76CC" w:rsidRDefault="00391091" w:rsidP="00F92230">
            <w:pPr>
              <w:spacing w:before="120" w:after="120"/>
              <w:jc w:val="both"/>
              <w:rPr>
                <w:b/>
              </w:rPr>
            </w:pPr>
            <w:r w:rsidRPr="00FE76CC">
              <w:rPr>
                <w:b/>
              </w:rPr>
              <w:t>Structure</w:t>
            </w:r>
          </w:p>
        </w:tc>
        <w:tc>
          <w:tcPr>
            <w:tcW w:w="6469" w:type="dxa"/>
          </w:tcPr>
          <w:p w14:paraId="7569907B" w14:textId="04930F91" w:rsidR="00391091" w:rsidRPr="006D767A" w:rsidRDefault="00391091" w:rsidP="00FE76CC">
            <w:pPr>
              <w:pStyle w:val="ListParagraph"/>
              <w:spacing w:before="120" w:after="120"/>
              <w:ind w:left="40"/>
              <w:contextualSpacing w:val="0"/>
              <w:jc w:val="both"/>
            </w:pPr>
            <w:r w:rsidRPr="006D767A">
              <w:t>The will be divided into two</w:t>
            </w:r>
            <w:r>
              <w:t xml:space="preserve"> elements</w:t>
            </w:r>
            <w:r w:rsidRPr="006D767A">
              <w:t>:</w:t>
            </w:r>
          </w:p>
          <w:p w14:paraId="2FA41644" w14:textId="5F3C0C1E" w:rsidR="00391091" w:rsidRPr="00231E30" w:rsidRDefault="00391091" w:rsidP="00D508AA">
            <w:pPr>
              <w:pStyle w:val="ListParagraph"/>
              <w:numPr>
                <w:ilvl w:val="0"/>
                <w:numId w:val="40"/>
              </w:numPr>
              <w:spacing w:before="120" w:after="120"/>
              <w:ind w:left="323" w:hanging="283"/>
              <w:contextualSpacing w:val="0"/>
              <w:jc w:val="both"/>
            </w:pPr>
            <w:r w:rsidRPr="00FE76CC">
              <w:rPr>
                <w:i/>
                <w:u w:val="single"/>
              </w:rPr>
              <w:t>Guarantee element</w:t>
            </w:r>
            <w:r w:rsidRPr="00231E30">
              <w:t>: portfolio capped financial guarantee providing credit risk coverage on a loan by loan basis for a portfolio (</w:t>
            </w:r>
            <w:r w:rsidR="00C7454B">
              <w:t>the “</w:t>
            </w:r>
            <w:r w:rsidR="00C7454B" w:rsidRPr="00231E30">
              <w:t>Portfolio</w:t>
            </w:r>
            <w:r w:rsidR="00C7454B">
              <w:t>”</w:t>
            </w:r>
            <w:r w:rsidRPr="00231E30">
              <w:t>) of newly originated Eligible Loans. The guarantee shall cover losses incurred by the Financial Institution</w:t>
            </w:r>
            <w:r w:rsidR="00664D86" w:rsidRPr="00231E30">
              <w:t>/s</w:t>
            </w:r>
            <w:r w:rsidRPr="00231E30">
              <w:t xml:space="preserve"> in respect of each defaulted Eligible Loan in accordance with the Guarantee Rate. Losses covered by the </w:t>
            </w:r>
            <w:r w:rsidR="00375489" w:rsidRPr="00231E30">
              <w:t>FI</w:t>
            </w:r>
            <w:r w:rsidR="00C3054F" w:rsidRPr="00231E30">
              <w:t xml:space="preserve"> in</w:t>
            </w:r>
            <w:r w:rsidRPr="00231E30">
              <w:t xml:space="preserve"> respect of the Portfolio of Eligible Loans shall in aggregate not exceed the Cap amount agreed in the Operational Agreement between the MDB and the relevant Financial Institution</w:t>
            </w:r>
            <w:r w:rsidR="00C3054F" w:rsidRPr="00231E30">
              <w:t>/s</w:t>
            </w:r>
            <w:r w:rsidRPr="00231E30">
              <w:t>.</w:t>
            </w:r>
          </w:p>
          <w:p w14:paraId="28CA8E6D" w14:textId="2D8B3C76" w:rsidR="00391091" w:rsidRPr="00F92230" w:rsidRDefault="00391091" w:rsidP="00C7454B">
            <w:pPr>
              <w:pStyle w:val="ListParagraph"/>
              <w:spacing w:before="120" w:after="120"/>
              <w:ind w:left="607"/>
              <w:contextualSpacing w:val="0"/>
              <w:jc w:val="both"/>
              <w:rPr>
                <w:i/>
                <w:u w:val="single"/>
              </w:rPr>
            </w:pPr>
            <w:r w:rsidRPr="00231E30">
              <w:rPr>
                <w:i/>
                <w:u w:val="single"/>
              </w:rPr>
              <w:t>Interest rate subsidy element</w:t>
            </w:r>
            <w:r w:rsidRPr="00FA11D4">
              <w:rPr>
                <w:i/>
              </w:rPr>
              <w:t xml:space="preserve">: </w:t>
            </w:r>
            <w:r w:rsidRPr="00FE76CC">
              <w:t>the interest rate subsidy will be utilised as a set off for</w:t>
            </w:r>
            <w:r w:rsidR="00C7454B">
              <w:t xml:space="preserve"> a</w:t>
            </w:r>
            <w:r w:rsidR="00010E93" w:rsidRPr="00231E30">
              <w:t xml:space="preserve">ll </w:t>
            </w:r>
            <w:r w:rsidRPr="00231E30">
              <w:t>the interest incurred during the moratorium period of each Eligible Loan</w:t>
            </w:r>
            <w:r w:rsidR="00010E93" w:rsidRPr="00231E30">
              <w:t>.</w:t>
            </w:r>
          </w:p>
        </w:tc>
      </w:tr>
      <w:tr w:rsidR="00391091" w:rsidRPr="006D767A" w14:paraId="4036A21B" w14:textId="77777777" w:rsidTr="002F7F31">
        <w:tc>
          <w:tcPr>
            <w:tcW w:w="2547" w:type="dxa"/>
          </w:tcPr>
          <w:p w14:paraId="4C6BF88D" w14:textId="77777777" w:rsidR="00391091" w:rsidRPr="00FE76CC" w:rsidRDefault="00391091" w:rsidP="00F92230">
            <w:pPr>
              <w:spacing w:before="120" w:after="120"/>
              <w:jc w:val="both"/>
              <w:rPr>
                <w:b/>
              </w:rPr>
            </w:pPr>
            <w:r w:rsidRPr="00FE76CC">
              <w:rPr>
                <w:b/>
              </w:rPr>
              <w:t>Currency</w:t>
            </w:r>
          </w:p>
        </w:tc>
        <w:tc>
          <w:tcPr>
            <w:tcW w:w="6469" w:type="dxa"/>
          </w:tcPr>
          <w:p w14:paraId="652B10F6" w14:textId="1DD30199" w:rsidR="00391091" w:rsidRPr="006D767A" w:rsidRDefault="00391091" w:rsidP="00FE76CC">
            <w:pPr>
              <w:pStyle w:val="ListParagraph"/>
              <w:spacing w:before="120" w:after="120"/>
              <w:ind w:left="40"/>
              <w:jc w:val="both"/>
            </w:pPr>
            <w:r w:rsidRPr="006D767A">
              <w:t xml:space="preserve">The </w:t>
            </w:r>
            <w:r>
              <w:t>C</w:t>
            </w:r>
            <w:r w:rsidRPr="006D767A">
              <w:t xml:space="preserve">ap amount on the guarantee shall be expressed in EUR. All amounts including interest payments to be paid </w:t>
            </w:r>
            <w:r>
              <w:t>to</w:t>
            </w:r>
            <w:r w:rsidRPr="006D767A">
              <w:t xml:space="preserve"> </w:t>
            </w:r>
            <w:r>
              <w:t xml:space="preserve">and by the </w:t>
            </w:r>
            <w:r w:rsidRPr="006D767A">
              <w:t xml:space="preserve">MDB under the </w:t>
            </w:r>
            <w:r w:rsidR="00D252DB">
              <w:t>G</w:t>
            </w:r>
            <w:r w:rsidR="00D252DB" w:rsidRPr="006D767A">
              <w:t>uarantee</w:t>
            </w:r>
            <w:r w:rsidR="00D252DB">
              <w:t xml:space="preserve"> </w:t>
            </w:r>
            <w:r w:rsidRPr="006D767A">
              <w:t>shall be expressed in EUR.</w:t>
            </w:r>
          </w:p>
        </w:tc>
      </w:tr>
      <w:tr w:rsidR="00391091" w:rsidRPr="006D767A" w14:paraId="3D92C06E" w14:textId="77777777" w:rsidTr="002F7F31">
        <w:tc>
          <w:tcPr>
            <w:tcW w:w="2547" w:type="dxa"/>
          </w:tcPr>
          <w:p w14:paraId="0AF5BF80" w14:textId="77777777" w:rsidR="00391091" w:rsidRPr="00FE76CC" w:rsidRDefault="00391091" w:rsidP="00F92230">
            <w:pPr>
              <w:spacing w:before="120" w:after="120"/>
              <w:jc w:val="both"/>
              <w:rPr>
                <w:b/>
              </w:rPr>
            </w:pPr>
            <w:r w:rsidRPr="00FE76CC">
              <w:rPr>
                <w:b/>
              </w:rPr>
              <w:t xml:space="preserve">Governing Law </w:t>
            </w:r>
          </w:p>
        </w:tc>
        <w:tc>
          <w:tcPr>
            <w:tcW w:w="6469" w:type="dxa"/>
          </w:tcPr>
          <w:p w14:paraId="10C0553D" w14:textId="719B5626" w:rsidR="00391091" w:rsidRPr="006D767A" w:rsidRDefault="00391091" w:rsidP="00FE76CC">
            <w:pPr>
              <w:pStyle w:val="ListParagraph"/>
              <w:spacing w:before="120" w:after="120"/>
              <w:ind w:left="40"/>
              <w:jc w:val="both"/>
            </w:pPr>
            <w:r w:rsidRPr="006D767A">
              <w:t>The term</w:t>
            </w:r>
            <w:r w:rsidR="001F64F8">
              <w:t>s</w:t>
            </w:r>
            <w:r w:rsidRPr="006D767A">
              <w:t xml:space="preserve"> of the </w:t>
            </w:r>
            <w:r w:rsidR="00201F69">
              <w:t>G</w:t>
            </w:r>
            <w:r w:rsidRPr="006D767A">
              <w:t xml:space="preserve">uarantee Agreement </w:t>
            </w:r>
            <w:r w:rsidR="001F64F8">
              <w:t>are</w:t>
            </w:r>
            <w:r w:rsidRPr="006D767A">
              <w:t xml:space="preserve"> governed by the laws of Malta.</w:t>
            </w:r>
          </w:p>
        </w:tc>
      </w:tr>
      <w:tr w:rsidR="00391091" w:rsidRPr="006D767A" w14:paraId="79227B58" w14:textId="77777777" w:rsidTr="002F7F31">
        <w:tc>
          <w:tcPr>
            <w:tcW w:w="2547" w:type="dxa"/>
          </w:tcPr>
          <w:p w14:paraId="41ED0970" w14:textId="6549F866" w:rsidR="00391091" w:rsidRPr="00FE76CC" w:rsidRDefault="00391091" w:rsidP="00F92230">
            <w:pPr>
              <w:spacing w:before="120" w:after="120"/>
              <w:jc w:val="both"/>
              <w:rPr>
                <w:b/>
              </w:rPr>
            </w:pPr>
            <w:r w:rsidRPr="00FE76CC">
              <w:rPr>
                <w:b/>
              </w:rPr>
              <w:t xml:space="preserve">Actual </w:t>
            </w:r>
            <w:r w:rsidR="00D252DB">
              <w:rPr>
                <w:b/>
              </w:rPr>
              <w:t xml:space="preserve">Portfolio </w:t>
            </w:r>
            <w:r w:rsidRPr="00FE76CC">
              <w:rPr>
                <w:b/>
              </w:rPr>
              <w:t>Volume</w:t>
            </w:r>
          </w:p>
        </w:tc>
        <w:tc>
          <w:tcPr>
            <w:tcW w:w="6469" w:type="dxa"/>
          </w:tcPr>
          <w:p w14:paraId="3D8FE07C" w14:textId="3011076C" w:rsidR="00391091" w:rsidRPr="006D767A" w:rsidRDefault="00391091" w:rsidP="00FE76CC">
            <w:pPr>
              <w:pStyle w:val="ListParagraph"/>
              <w:spacing w:before="120" w:after="120"/>
              <w:ind w:left="181"/>
              <w:contextualSpacing w:val="0"/>
              <w:jc w:val="both"/>
            </w:pPr>
            <w:r w:rsidRPr="006D767A">
              <w:rPr>
                <w:i/>
                <w:u w:val="single"/>
              </w:rPr>
              <w:t>Under the Guarantee:</w:t>
            </w:r>
            <w:r w:rsidRPr="006D767A">
              <w:t xml:space="preserve"> </w:t>
            </w:r>
            <w:bookmarkStart w:id="7" w:name="_Hlk9427343"/>
            <w:r w:rsidRPr="006D767A">
              <w:t xml:space="preserve">The aggregate amount of the </w:t>
            </w:r>
            <w:r>
              <w:t>principal</w:t>
            </w:r>
            <w:r w:rsidRPr="006D767A">
              <w:t xml:space="preserve"> committed to be available under newly originated</w:t>
            </w:r>
            <w:r>
              <w:t xml:space="preserve"> and disbursed</w:t>
            </w:r>
            <w:r w:rsidRPr="006D767A">
              <w:t xml:space="preserve"> Eligible </w:t>
            </w:r>
            <w:r>
              <w:t>L</w:t>
            </w:r>
            <w:r w:rsidRPr="006D767A">
              <w:t>oans included in the Portfolio, provided that, for the avoidance of doubt:</w:t>
            </w:r>
          </w:p>
          <w:p w14:paraId="53A3C3DF" w14:textId="6DBF1AB6" w:rsidR="00391091" w:rsidRPr="006D767A" w:rsidRDefault="00391091" w:rsidP="00FE76CC">
            <w:pPr>
              <w:pStyle w:val="ListParagraph"/>
              <w:numPr>
                <w:ilvl w:val="0"/>
                <w:numId w:val="15"/>
              </w:numPr>
              <w:spacing w:after="120"/>
              <w:ind w:left="465" w:firstLine="0"/>
              <w:contextualSpacing w:val="0"/>
              <w:jc w:val="both"/>
            </w:pPr>
            <w:r w:rsidRPr="006D767A">
              <w:t xml:space="preserve">If any </w:t>
            </w:r>
            <w:r>
              <w:t>Eligible L</w:t>
            </w:r>
            <w:r w:rsidRPr="006D767A">
              <w:t xml:space="preserve">oan is prepaid and/or repaid, then this shall not reduce the </w:t>
            </w:r>
            <w:r w:rsidR="00C04FA0">
              <w:t>A</w:t>
            </w:r>
            <w:r w:rsidR="00C04FA0" w:rsidRPr="006D767A">
              <w:t xml:space="preserve">ctual </w:t>
            </w:r>
            <w:r w:rsidR="00C04FA0">
              <w:t>Portfolio V</w:t>
            </w:r>
            <w:r w:rsidR="00C04FA0" w:rsidRPr="006D767A">
              <w:t>olume</w:t>
            </w:r>
            <w:r w:rsidRPr="006D767A">
              <w:t>; and</w:t>
            </w:r>
          </w:p>
          <w:p w14:paraId="4C9E1F26" w14:textId="77777777" w:rsidR="00391091" w:rsidRPr="006D767A" w:rsidRDefault="00391091" w:rsidP="00FE76CC">
            <w:pPr>
              <w:pStyle w:val="ListParagraph"/>
              <w:numPr>
                <w:ilvl w:val="0"/>
                <w:numId w:val="15"/>
              </w:numPr>
              <w:spacing w:after="120"/>
              <w:ind w:left="465" w:firstLine="0"/>
              <w:contextualSpacing w:val="0"/>
              <w:jc w:val="both"/>
            </w:pPr>
            <w:r w:rsidRPr="006D767A">
              <w:t>If a</w:t>
            </w:r>
            <w:r>
              <w:t>n Eligible</w:t>
            </w:r>
            <w:r w:rsidRPr="006D767A">
              <w:t xml:space="preserve"> </w:t>
            </w:r>
            <w:r>
              <w:t>L</w:t>
            </w:r>
            <w:r w:rsidRPr="006D767A">
              <w:t xml:space="preserve">oan is excluded from the Portfolio </w:t>
            </w:r>
            <w:proofErr w:type="gramStart"/>
            <w:r w:rsidRPr="006D767A">
              <w:t>as a result of</w:t>
            </w:r>
            <w:proofErr w:type="gramEnd"/>
            <w:r w:rsidRPr="006D767A">
              <w:t xml:space="preserve"> the exclusion process described below, then such </w:t>
            </w:r>
            <w:r>
              <w:t>Eligible L</w:t>
            </w:r>
            <w:r w:rsidRPr="006D767A">
              <w:t>oan value will not be taken into account for the calculation of the Actual Portfolio Volume; and</w:t>
            </w:r>
          </w:p>
          <w:p w14:paraId="691DC62D" w14:textId="21741E94" w:rsidR="00391091" w:rsidRDefault="00391091" w:rsidP="00FE76CC">
            <w:pPr>
              <w:pStyle w:val="ListParagraph"/>
              <w:numPr>
                <w:ilvl w:val="0"/>
                <w:numId w:val="15"/>
              </w:numPr>
              <w:spacing w:after="120"/>
              <w:ind w:left="465" w:firstLine="0"/>
              <w:contextualSpacing w:val="0"/>
              <w:jc w:val="both"/>
            </w:pPr>
            <w:r w:rsidRPr="006D767A">
              <w:t xml:space="preserve">The </w:t>
            </w:r>
            <w:r>
              <w:t>A</w:t>
            </w:r>
            <w:r w:rsidRPr="006D767A">
              <w:t>ctual Portfolio Volume may in no circumstances exceed the Maximum Portfolio Volume.</w:t>
            </w:r>
          </w:p>
          <w:bookmarkEnd w:id="7"/>
          <w:p w14:paraId="3437910D" w14:textId="370E412B" w:rsidR="00893B0A" w:rsidRDefault="00893B0A" w:rsidP="00F92230">
            <w:pPr>
              <w:spacing w:before="120" w:after="120"/>
              <w:jc w:val="both"/>
              <w:rPr>
                <w:i/>
                <w:u w:val="single"/>
              </w:rPr>
            </w:pPr>
            <w:r w:rsidRPr="00801210">
              <w:rPr>
                <w:i/>
                <w:u w:val="single"/>
              </w:rPr>
              <w:t>Full disbursement of the Eligible loans is to be made by latest 31 December 202</w:t>
            </w:r>
            <w:r w:rsidR="001F55BD" w:rsidRPr="00801210">
              <w:rPr>
                <w:i/>
                <w:u w:val="single"/>
              </w:rPr>
              <w:t>3</w:t>
            </w:r>
            <w:r w:rsidRPr="00801210">
              <w:rPr>
                <w:i/>
                <w:u w:val="single"/>
              </w:rPr>
              <w:t>.</w:t>
            </w:r>
          </w:p>
          <w:p w14:paraId="336F2634" w14:textId="7A4A30FB" w:rsidR="004B6CF0" w:rsidRPr="001F55BD" w:rsidRDefault="001E345C" w:rsidP="00F92230">
            <w:pPr>
              <w:spacing w:before="120" w:after="120"/>
              <w:jc w:val="both"/>
              <w:rPr>
                <w:u w:val="single"/>
              </w:rPr>
            </w:pPr>
            <w:r w:rsidRPr="001F55BD">
              <w:rPr>
                <w:u w:val="single"/>
              </w:rPr>
              <w:t>If t</w:t>
            </w:r>
            <w:r w:rsidR="004B6CF0" w:rsidRPr="001F55BD">
              <w:rPr>
                <w:u w:val="single"/>
              </w:rPr>
              <w:t xml:space="preserve">he </w:t>
            </w:r>
            <w:r w:rsidR="00DE42C3">
              <w:rPr>
                <w:u w:val="single"/>
              </w:rPr>
              <w:t>F</w:t>
            </w:r>
            <w:r w:rsidR="008D68B8">
              <w:rPr>
                <w:u w:val="single"/>
              </w:rPr>
              <w:t>inancial Institution/s</w:t>
            </w:r>
            <w:r w:rsidR="004B6CF0" w:rsidRPr="001F55BD">
              <w:rPr>
                <w:u w:val="single"/>
              </w:rPr>
              <w:t xml:space="preserve"> benefiting from MDB’s guarantee has not disbursed the planned</w:t>
            </w:r>
            <w:r w:rsidRPr="001F55BD">
              <w:rPr>
                <w:u w:val="single"/>
              </w:rPr>
              <w:t xml:space="preserve"> </w:t>
            </w:r>
            <w:r w:rsidR="00C04FA0">
              <w:rPr>
                <w:u w:val="single"/>
              </w:rPr>
              <w:t>Maximum</w:t>
            </w:r>
            <w:r w:rsidR="00C04FA0" w:rsidRPr="001F55BD">
              <w:rPr>
                <w:u w:val="single"/>
              </w:rPr>
              <w:t xml:space="preserve"> </w:t>
            </w:r>
            <w:r w:rsidRPr="001F55BD">
              <w:rPr>
                <w:u w:val="single"/>
              </w:rPr>
              <w:t>Portfolio volume</w:t>
            </w:r>
            <w:r w:rsidR="004B6CF0" w:rsidRPr="001F55BD">
              <w:rPr>
                <w:u w:val="single"/>
              </w:rPr>
              <w:t xml:space="preserve"> to the </w:t>
            </w:r>
            <w:r w:rsidRPr="001F55BD">
              <w:rPr>
                <w:u w:val="single"/>
              </w:rPr>
              <w:t>Eligible Student</w:t>
            </w:r>
            <w:r w:rsidR="004F5758">
              <w:rPr>
                <w:u w:val="single"/>
              </w:rPr>
              <w:t>s</w:t>
            </w:r>
            <w:r w:rsidRPr="001F55BD">
              <w:rPr>
                <w:u w:val="single"/>
              </w:rPr>
              <w:t xml:space="preserve"> </w:t>
            </w:r>
            <w:r w:rsidR="00C04FA0">
              <w:rPr>
                <w:u w:val="single"/>
              </w:rPr>
              <w:t>by the end of the disbursement period</w:t>
            </w:r>
            <w:r w:rsidR="004B6CF0" w:rsidRPr="001F55BD">
              <w:rPr>
                <w:u w:val="single"/>
              </w:rPr>
              <w:t>, the Guaranteed amount shall be reduced proportionally.</w:t>
            </w:r>
          </w:p>
          <w:p w14:paraId="135219EC" w14:textId="7D2C67AA" w:rsidR="008A5D06" w:rsidRDefault="00391091" w:rsidP="004442D9">
            <w:pPr>
              <w:pStyle w:val="ListParagraph"/>
              <w:spacing w:before="120" w:after="120"/>
              <w:ind w:left="40"/>
              <w:jc w:val="both"/>
              <w:rPr>
                <w:i/>
              </w:rPr>
            </w:pPr>
            <w:r>
              <w:rPr>
                <w:i/>
                <w:u w:val="single"/>
              </w:rPr>
              <w:t>Interest rate subsidy</w:t>
            </w:r>
            <w:r w:rsidRPr="006D767A">
              <w:rPr>
                <w:i/>
                <w:u w:val="single"/>
              </w:rPr>
              <w:t>:</w:t>
            </w:r>
            <w:r w:rsidRPr="00E832DC">
              <w:t xml:space="preserve"> </w:t>
            </w:r>
            <w:bookmarkStart w:id="8" w:name="_Hlk9427639"/>
            <w:r w:rsidRPr="006D767A">
              <w:t xml:space="preserve">The aggregate amount paid to cover the incurred interest on the Eligible </w:t>
            </w:r>
            <w:r>
              <w:t>L</w:t>
            </w:r>
            <w:r w:rsidRPr="006D767A">
              <w:t>oans include</w:t>
            </w:r>
            <w:r>
              <w:t>d</w:t>
            </w:r>
            <w:r w:rsidRPr="006D767A">
              <w:t xml:space="preserve"> in the Portfolio from time to time, will be made towards </w:t>
            </w:r>
            <w:r w:rsidR="00C04FA0" w:rsidRPr="006D767A">
              <w:t>the</w:t>
            </w:r>
            <w:r w:rsidR="00C04FA0">
              <w:t xml:space="preserve"> </w:t>
            </w:r>
            <w:r w:rsidR="00C04FA0" w:rsidRPr="000E3AD0">
              <w:t>full</w:t>
            </w:r>
            <w:r w:rsidRPr="000E3AD0">
              <w:t xml:space="preserve"> interest</w:t>
            </w:r>
            <w:r w:rsidR="009C5AB6" w:rsidRPr="000E3AD0">
              <w:t xml:space="preserve"> </w:t>
            </w:r>
            <w:r w:rsidR="00023374">
              <w:t>charged</w:t>
            </w:r>
            <w:r w:rsidR="002671DF" w:rsidRPr="000E3AD0">
              <w:t xml:space="preserve"> </w:t>
            </w:r>
            <w:r w:rsidRPr="000E3AD0">
              <w:t xml:space="preserve">during the moratorium period subject to </w:t>
            </w:r>
            <w:r w:rsidR="00AF0BDA" w:rsidRPr="000E3AD0">
              <w:t xml:space="preserve">the </w:t>
            </w:r>
            <w:r w:rsidRPr="000E3AD0">
              <w:t xml:space="preserve">terms and conditions </w:t>
            </w:r>
            <w:r w:rsidR="00AF0BDA" w:rsidRPr="000E3AD0">
              <w:t>of the moratorium</w:t>
            </w:r>
            <w:r w:rsidR="00010E93" w:rsidRPr="000E3AD0">
              <w:t>.</w:t>
            </w:r>
          </w:p>
          <w:p w14:paraId="0CAF67C3" w14:textId="77777777" w:rsidR="00CD373B" w:rsidRDefault="00CD373B" w:rsidP="000E3AD0">
            <w:pPr>
              <w:pStyle w:val="ListParagraph"/>
              <w:spacing w:before="120" w:after="120"/>
              <w:ind w:left="1080"/>
              <w:jc w:val="both"/>
              <w:rPr>
                <w:i/>
              </w:rPr>
            </w:pPr>
          </w:p>
          <w:p w14:paraId="75B7E754" w14:textId="5B8EE0C7" w:rsidR="00391091" w:rsidRPr="006D767A" w:rsidRDefault="00391091" w:rsidP="00CD373B">
            <w:pPr>
              <w:pStyle w:val="ListParagraph"/>
              <w:spacing w:before="120" w:after="120"/>
              <w:ind w:left="890"/>
              <w:contextualSpacing w:val="0"/>
              <w:jc w:val="both"/>
              <w:rPr>
                <w:i/>
              </w:rPr>
            </w:pPr>
            <w:r w:rsidRPr="006D767A">
              <w:rPr>
                <w:i/>
              </w:rPr>
              <w:t>Provided that, for avoidance of doubt:</w:t>
            </w:r>
          </w:p>
          <w:p w14:paraId="2B3274E8" w14:textId="161E8A18" w:rsidR="00391091" w:rsidRPr="006D767A" w:rsidRDefault="00391091" w:rsidP="00D90932">
            <w:pPr>
              <w:pStyle w:val="ListParagraph"/>
              <w:numPr>
                <w:ilvl w:val="0"/>
                <w:numId w:val="17"/>
              </w:numPr>
              <w:spacing w:after="120"/>
              <w:ind w:left="890" w:hanging="357"/>
              <w:contextualSpacing w:val="0"/>
              <w:jc w:val="both"/>
              <w:rPr>
                <w:i/>
              </w:rPr>
            </w:pPr>
            <w:r w:rsidRPr="006D767A">
              <w:rPr>
                <w:i/>
              </w:rPr>
              <w:t xml:space="preserve">The </w:t>
            </w:r>
            <w:r w:rsidR="00C04FA0">
              <w:rPr>
                <w:i/>
              </w:rPr>
              <w:t>Eligible Student</w:t>
            </w:r>
            <w:r w:rsidRPr="006D767A">
              <w:rPr>
                <w:i/>
              </w:rPr>
              <w:t xml:space="preserve"> will remain </w:t>
            </w:r>
            <w:r>
              <w:rPr>
                <w:i/>
              </w:rPr>
              <w:t xml:space="preserve">a </w:t>
            </w:r>
            <w:r w:rsidR="00C04FA0">
              <w:rPr>
                <w:i/>
              </w:rPr>
              <w:t>s</w:t>
            </w:r>
            <w:r w:rsidR="00C04FA0" w:rsidRPr="006D767A">
              <w:rPr>
                <w:i/>
              </w:rPr>
              <w:t xml:space="preserve">tudent </w:t>
            </w:r>
            <w:r w:rsidRPr="006D767A">
              <w:rPr>
                <w:i/>
              </w:rPr>
              <w:t>throughout the moratorium period of the loan</w:t>
            </w:r>
            <w:r>
              <w:rPr>
                <w:i/>
              </w:rPr>
              <w:t>.</w:t>
            </w:r>
          </w:p>
          <w:p w14:paraId="49BBB7A1" w14:textId="01912EAD" w:rsidR="00391091" w:rsidRPr="006D767A" w:rsidRDefault="00C04FA0" w:rsidP="00D90932">
            <w:pPr>
              <w:pStyle w:val="ListParagraph"/>
              <w:numPr>
                <w:ilvl w:val="0"/>
                <w:numId w:val="17"/>
              </w:numPr>
              <w:spacing w:after="120"/>
              <w:ind w:left="890" w:hanging="357"/>
              <w:contextualSpacing w:val="0"/>
              <w:jc w:val="both"/>
              <w:rPr>
                <w:i/>
              </w:rPr>
            </w:pPr>
            <w:r>
              <w:rPr>
                <w:i/>
              </w:rPr>
              <w:t>T</w:t>
            </w:r>
            <w:r w:rsidRPr="006D767A">
              <w:rPr>
                <w:i/>
              </w:rPr>
              <w:t xml:space="preserve">he </w:t>
            </w:r>
            <w:r w:rsidR="00391091">
              <w:rPr>
                <w:i/>
              </w:rPr>
              <w:t>Eligible L</w:t>
            </w:r>
            <w:r w:rsidR="00391091" w:rsidRPr="006D767A">
              <w:rPr>
                <w:i/>
              </w:rPr>
              <w:t>oan or part thereof is made available to a person who is a</w:t>
            </w:r>
            <w:r>
              <w:rPr>
                <w:i/>
              </w:rPr>
              <w:t>n Eligible</w:t>
            </w:r>
            <w:r w:rsidR="00391091" w:rsidRPr="006D767A">
              <w:rPr>
                <w:i/>
              </w:rPr>
              <w:t xml:space="preserve"> </w:t>
            </w:r>
            <w:r w:rsidR="00391091">
              <w:rPr>
                <w:i/>
              </w:rPr>
              <w:t>S</w:t>
            </w:r>
            <w:r w:rsidR="00391091" w:rsidRPr="006D767A">
              <w:rPr>
                <w:i/>
              </w:rPr>
              <w:t>tudent.</w:t>
            </w:r>
          </w:p>
          <w:p w14:paraId="4180830A" w14:textId="2867E5EC" w:rsidR="00391091" w:rsidRPr="006D767A" w:rsidRDefault="00C04FA0" w:rsidP="00D90932">
            <w:pPr>
              <w:pStyle w:val="ListParagraph"/>
              <w:numPr>
                <w:ilvl w:val="0"/>
                <w:numId w:val="17"/>
              </w:numPr>
              <w:spacing w:after="120"/>
              <w:ind w:left="890" w:hanging="357"/>
              <w:contextualSpacing w:val="0"/>
              <w:jc w:val="both"/>
              <w:rPr>
                <w:i/>
              </w:rPr>
            </w:pPr>
            <w:r>
              <w:rPr>
                <w:i/>
              </w:rPr>
              <w:t>D</w:t>
            </w:r>
            <w:r w:rsidRPr="006D767A">
              <w:rPr>
                <w:i/>
              </w:rPr>
              <w:t xml:space="preserve">isbursements </w:t>
            </w:r>
            <w:r w:rsidR="00391091" w:rsidRPr="006D767A">
              <w:rPr>
                <w:i/>
              </w:rPr>
              <w:t xml:space="preserve">from the </w:t>
            </w:r>
            <w:r w:rsidR="00391091">
              <w:rPr>
                <w:i/>
              </w:rPr>
              <w:t>Eligible L</w:t>
            </w:r>
            <w:r w:rsidR="00391091" w:rsidRPr="006D767A">
              <w:rPr>
                <w:i/>
              </w:rPr>
              <w:t xml:space="preserve">oan </w:t>
            </w:r>
            <w:r w:rsidR="00AF0BDA">
              <w:rPr>
                <w:i/>
              </w:rPr>
              <w:t xml:space="preserve">are </w:t>
            </w:r>
            <w:r w:rsidR="00391091" w:rsidRPr="006D767A">
              <w:rPr>
                <w:i/>
              </w:rPr>
              <w:t xml:space="preserve">made for the purpose listed under the Eligible </w:t>
            </w:r>
            <w:r w:rsidR="00391091">
              <w:rPr>
                <w:i/>
              </w:rPr>
              <w:t>U</w:t>
            </w:r>
            <w:r w:rsidR="00391091" w:rsidRPr="006D767A">
              <w:rPr>
                <w:i/>
              </w:rPr>
              <w:t>se of the loans</w:t>
            </w:r>
            <w:r w:rsidR="00391091">
              <w:rPr>
                <w:i/>
              </w:rPr>
              <w:t>.</w:t>
            </w:r>
          </w:p>
          <w:p w14:paraId="2DF1ED92" w14:textId="0D1B8265" w:rsidR="00391091" w:rsidRPr="00AF0BDA" w:rsidRDefault="00391091" w:rsidP="00CC000A">
            <w:pPr>
              <w:spacing w:before="120" w:after="240"/>
              <w:jc w:val="both"/>
            </w:pPr>
            <w:r w:rsidRPr="00AF0BDA">
              <w:t xml:space="preserve">Any interest rate subsidy claimed for </w:t>
            </w:r>
            <w:r w:rsidR="0096668D">
              <w:t xml:space="preserve">a </w:t>
            </w:r>
            <w:r w:rsidRPr="00AF0BDA">
              <w:t xml:space="preserve">Non-Eligible </w:t>
            </w:r>
            <w:r w:rsidR="00AF0BDA" w:rsidRPr="00AF0BDA">
              <w:t>Loan</w:t>
            </w:r>
            <w:r w:rsidRPr="00AF0BDA">
              <w:t xml:space="preserve"> shall be refunded back to the MDB, </w:t>
            </w:r>
            <w:r w:rsidR="00F86D04">
              <w:t xml:space="preserve">with the </w:t>
            </w:r>
            <w:r w:rsidRPr="00AF0BDA">
              <w:t xml:space="preserve">relative amount deducted from the next interest payment made to the </w:t>
            </w:r>
            <w:r w:rsidR="00F660EE" w:rsidRPr="00AF0BDA">
              <w:t>F</w:t>
            </w:r>
            <w:r w:rsidRPr="00AF0BDA">
              <w:t xml:space="preserve">inancial </w:t>
            </w:r>
            <w:r w:rsidR="00F660EE" w:rsidRPr="00AF0BDA">
              <w:t>I</w:t>
            </w:r>
            <w:r w:rsidRPr="00AF0BDA">
              <w:t>nstitution.</w:t>
            </w:r>
          </w:p>
          <w:p w14:paraId="0A80EE3B" w14:textId="4F358665" w:rsidR="001E345C" w:rsidRDefault="006A76D4" w:rsidP="00CC000A">
            <w:pPr>
              <w:spacing w:before="120" w:after="240"/>
              <w:jc w:val="both"/>
            </w:pPr>
            <w:r>
              <w:t xml:space="preserve">The </w:t>
            </w:r>
            <w:r w:rsidR="00C04FA0">
              <w:t xml:space="preserve">student </w:t>
            </w:r>
            <w:r w:rsidR="00142E98">
              <w:t>will not be eligible to receive</w:t>
            </w:r>
            <w:r w:rsidR="00815074">
              <w:t xml:space="preserve"> further</w:t>
            </w:r>
            <w:r w:rsidR="00142E98">
              <w:t xml:space="preserve"> </w:t>
            </w:r>
            <w:r w:rsidR="00A06425">
              <w:t xml:space="preserve">support in </w:t>
            </w:r>
            <w:r w:rsidR="00142E98">
              <w:t xml:space="preserve">the </w:t>
            </w:r>
            <w:r w:rsidR="00A06425">
              <w:t xml:space="preserve">form of </w:t>
            </w:r>
            <w:r w:rsidR="001E345C">
              <w:t xml:space="preserve">Interest </w:t>
            </w:r>
            <w:r>
              <w:t>R</w:t>
            </w:r>
            <w:r w:rsidR="001E345C">
              <w:t xml:space="preserve">ate </w:t>
            </w:r>
            <w:r>
              <w:t>S</w:t>
            </w:r>
            <w:r w:rsidR="001E345C">
              <w:t xml:space="preserve">ubsidy </w:t>
            </w:r>
            <w:r w:rsidR="00A06425">
              <w:t>from</w:t>
            </w:r>
            <w:r w:rsidR="001E345C">
              <w:t xml:space="preserve"> </w:t>
            </w:r>
            <w:r w:rsidR="00142E98">
              <w:t xml:space="preserve">the month after </w:t>
            </w:r>
            <w:r w:rsidR="00A06425">
              <w:t>s/he</w:t>
            </w:r>
            <w:r w:rsidR="001E345C">
              <w:t xml:space="preserve"> </w:t>
            </w:r>
            <w:r w:rsidR="00375489">
              <w:t>discontinues</w:t>
            </w:r>
            <w:r w:rsidR="001E345C">
              <w:t xml:space="preserve"> </w:t>
            </w:r>
            <w:r w:rsidR="00375489">
              <w:t>his/her</w:t>
            </w:r>
            <w:r w:rsidR="001E345C">
              <w:t xml:space="preserve"> studies.</w:t>
            </w:r>
          </w:p>
          <w:bookmarkEnd w:id="8"/>
          <w:p w14:paraId="1C5161D2" w14:textId="4B6E7EE7" w:rsidR="001E345C" w:rsidRPr="006D767A" w:rsidRDefault="001E345C" w:rsidP="00E30892">
            <w:pPr>
              <w:spacing w:before="120" w:after="120"/>
              <w:jc w:val="both"/>
            </w:pPr>
            <w:r w:rsidRPr="001F55BD">
              <w:rPr>
                <w:u w:val="single"/>
              </w:rPr>
              <w:t xml:space="preserve">If the </w:t>
            </w:r>
            <w:r w:rsidR="00DE42C3">
              <w:rPr>
                <w:u w:val="single"/>
              </w:rPr>
              <w:t>F</w:t>
            </w:r>
            <w:r w:rsidR="008D68B8">
              <w:rPr>
                <w:u w:val="single"/>
              </w:rPr>
              <w:t>inancial Institutions/s</w:t>
            </w:r>
            <w:r w:rsidRPr="001F55BD">
              <w:rPr>
                <w:u w:val="single"/>
              </w:rPr>
              <w:t xml:space="preserve"> benefiting from MDB’s guarantee has not disbursed the planned Agreed Portfolio volume to the Eligible Student</w:t>
            </w:r>
            <w:r w:rsidR="008F6C25">
              <w:rPr>
                <w:u w:val="single"/>
              </w:rPr>
              <w:t>s</w:t>
            </w:r>
            <w:r w:rsidRPr="001F55BD">
              <w:rPr>
                <w:u w:val="single"/>
              </w:rPr>
              <w:t xml:space="preserve"> (Final Recipient</w:t>
            </w:r>
            <w:r w:rsidR="008F6C25">
              <w:rPr>
                <w:u w:val="single"/>
              </w:rPr>
              <w:t>s</w:t>
            </w:r>
            <w:r w:rsidRPr="001F55BD">
              <w:rPr>
                <w:u w:val="single"/>
              </w:rPr>
              <w:t>), the eligible expenditure relating to the Interest Subsidy shall be reduced proportionally</w:t>
            </w:r>
            <w:r>
              <w:rPr>
                <w:i/>
                <w:u w:val="single"/>
              </w:rPr>
              <w:t>.</w:t>
            </w:r>
          </w:p>
        </w:tc>
      </w:tr>
      <w:tr w:rsidR="00391091" w:rsidRPr="006D767A" w14:paraId="5131D974" w14:textId="77777777" w:rsidTr="002F7F31">
        <w:tc>
          <w:tcPr>
            <w:tcW w:w="2547" w:type="dxa"/>
          </w:tcPr>
          <w:p w14:paraId="3AE2D8CE" w14:textId="254B32F2" w:rsidR="00391091" w:rsidRPr="00FE76CC" w:rsidRDefault="00C04FA0" w:rsidP="00F92230">
            <w:pPr>
              <w:spacing w:before="120" w:after="120"/>
              <w:jc w:val="both"/>
              <w:rPr>
                <w:b/>
              </w:rPr>
            </w:pPr>
            <w:r>
              <w:rPr>
                <w:b/>
              </w:rPr>
              <w:t xml:space="preserve">Maximum </w:t>
            </w:r>
            <w:r w:rsidR="00391091" w:rsidRPr="00FE76CC">
              <w:rPr>
                <w:b/>
              </w:rPr>
              <w:t>Portfolio Volume</w:t>
            </w:r>
          </w:p>
        </w:tc>
        <w:tc>
          <w:tcPr>
            <w:tcW w:w="6469" w:type="dxa"/>
          </w:tcPr>
          <w:p w14:paraId="2BA417CD" w14:textId="5DDD72F8" w:rsidR="00391091" w:rsidRPr="006D767A" w:rsidRDefault="00391091" w:rsidP="00F92230">
            <w:pPr>
              <w:spacing w:before="120" w:after="120"/>
              <w:jc w:val="both"/>
            </w:pPr>
            <w:r w:rsidRPr="006D767A">
              <w:t>The maximum aggregate amount of newly originated</w:t>
            </w:r>
            <w:r w:rsidR="008A723F">
              <w:t xml:space="preserve"> and disbursed</w:t>
            </w:r>
            <w:r w:rsidRPr="006D767A">
              <w:t xml:space="preserve"> Eligible </w:t>
            </w:r>
            <w:r>
              <w:t>L</w:t>
            </w:r>
            <w:r w:rsidRPr="006D767A">
              <w:t>oans to be covered by the Financial Instrument, as agreed in the Operational Agreement.</w:t>
            </w:r>
          </w:p>
        </w:tc>
      </w:tr>
      <w:tr w:rsidR="00391091" w:rsidRPr="006D767A" w14:paraId="34AE958D" w14:textId="77777777" w:rsidTr="002F7F31">
        <w:tc>
          <w:tcPr>
            <w:tcW w:w="2547" w:type="dxa"/>
          </w:tcPr>
          <w:p w14:paraId="00702A03" w14:textId="77777777" w:rsidR="00391091" w:rsidRPr="00FE76CC" w:rsidRDefault="00391091" w:rsidP="00F92230">
            <w:pPr>
              <w:spacing w:before="120" w:after="120"/>
              <w:jc w:val="both"/>
              <w:rPr>
                <w:b/>
                <w:highlight w:val="yellow"/>
              </w:rPr>
            </w:pPr>
            <w:r w:rsidRPr="00FE76CC">
              <w:rPr>
                <w:b/>
              </w:rPr>
              <w:t>Guarantee</w:t>
            </w:r>
          </w:p>
        </w:tc>
        <w:tc>
          <w:tcPr>
            <w:tcW w:w="6469" w:type="dxa"/>
          </w:tcPr>
          <w:p w14:paraId="6A0853A9" w14:textId="77777777" w:rsidR="00391091" w:rsidRPr="002F399D" w:rsidRDefault="00391091" w:rsidP="00F92230">
            <w:pPr>
              <w:spacing w:before="120" w:after="120"/>
              <w:jc w:val="both"/>
            </w:pPr>
            <w:r w:rsidRPr="002F399D">
              <w:t xml:space="preserve">The guarantee is </w:t>
            </w:r>
            <w:r w:rsidRPr="00A8139F">
              <w:t xml:space="preserve">irrevocably and unconditionally </w:t>
            </w:r>
            <w:r w:rsidRPr="002F399D">
              <w:t xml:space="preserve">issued </w:t>
            </w:r>
            <w:r w:rsidRPr="00A8139F">
              <w:t xml:space="preserve">on a first demand basis in favour of the </w:t>
            </w:r>
            <w:r w:rsidRPr="002F399D">
              <w:t>Financial Institution.</w:t>
            </w:r>
          </w:p>
          <w:p w14:paraId="5F17F212" w14:textId="52BAFB53" w:rsidR="00391091" w:rsidRPr="001F55BD" w:rsidRDefault="00391091" w:rsidP="00F92230">
            <w:pPr>
              <w:spacing w:before="120" w:after="120"/>
              <w:jc w:val="both"/>
              <w:rPr>
                <w:b/>
                <w:u w:val="single"/>
              </w:rPr>
            </w:pPr>
            <w:r w:rsidRPr="001F55BD">
              <w:rPr>
                <w:b/>
                <w:u w:val="single"/>
              </w:rPr>
              <w:t xml:space="preserve">At any </w:t>
            </w:r>
            <w:r w:rsidR="00C04FA0">
              <w:rPr>
                <w:b/>
                <w:u w:val="single"/>
              </w:rPr>
              <w:t>point in</w:t>
            </w:r>
            <w:r w:rsidR="00C04FA0" w:rsidRPr="001F55BD">
              <w:rPr>
                <w:b/>
                <w:u w:val="single"/>
              </w:rPr>
              <w:t xml:space="preserve"> </w:t>
            </w:r>
            <w:r w:rsidRPr="001F55BD">
              <w:rPr>
                <w:b/>
                <w:u w:val="single"/>
              </w:rPr>
              <w:t xml:space="preserve">time, the aggregate amount which the MDB may be liable to pay pursuant to the Guarantee shall be an amount equivalent to the product of (a) the </w:t>
            </w:r>
            <w:r w:rsidR="00C04FA0">
              <w:rPr>
                <w:b/>
                <w:u w:val="single"/>
              </w:rPr>
              <w:t xml:space="preserve">Actual </w:t>
            </w:r>
            <w:r w:rsidRPr="001F55BD">
              <w:rPr>
                <w:b/>
                <w:u w:val="single"/>
              </w:rPr>
              <w:t xml:space="preserve">Portfolio </w:t>
            </w:r>
            <w:r w:rsidR="00C04FA0">
              <w:rPr>
                <w:b/>
                <w:u w:val="single"/>
              </w:rPr>
              <w:t>Volume</w:t>
            </w:r>
            <w:r w:rsidRPr="001F55BD">
              <w:rPr>
                <w:b/>
                <w:u w:val="single"/>
              </w:rPr>
              <w:t>; (b) the Guarantee Rate; (c) the Guarantee Cap Rate.</w:t>
            </w:r>
          </w:p>
        </w:tc>
      </w:tr>
      <w:tr w:rsidR="00391091" w:rsidRPr="006D767A" w14:paraId="2406A7D9" w14:textId="77777777" w:rsidTr="002F7F31">
        <w:tc>
          <w:tcPr>
            <w:tcW w:w="2547" w:type="dxa"/>
          </w:tcPr>
          <w:p w14:paraId="28AC031D" w14:textId="77777777" w:rsidR="00391091" w:rsidRPr="00FE76CC" w:rsidRDefault="00391091" w:rsidP="00CC000A">
            <w:pPr>
              <w:spacing w:before="120" w:after="120"/>
              <w:jc w:val="both"/>
              <w:rPr>
                <w:b/>
              </w:rPr>
            </w:pPr>
            <w:r w:rsidRPr="00FE76CC">
              <w:rPr>
                <w:b/>
              </w:rPr>
              <w:t>Guarantee Rate</w:t>
            </w:r>
          </w:p>
        </w:tc>
        <w:tc>
          <w:tcPr>
            <w:tcW w:w="6469" w:type="dxa"/>
          </w:tcPr>
          <w:p w14:paraId="6A002E8C" w14:textId="364265AC" w:rsidR="00391091" w:rsidRPr="002671DF" w:rsidRDefault="00391091" w:rsidP="00CC000A">
            <w:pPr>
              <w:spacing w:before="120" w:after="120"/>
              <w:jc w:val="both"/>
            </w:pPr>
            <w:r w:rsidRPr="002671DF">
              <w:t xml:space="preserve">The </w:t>
            </w:r>
            <w:r w:rsidR="00375489">
              <w:t xml:space="preserve">FI </w:t>
            </w:r>
            <w:r w:rsidRPr="002671DF">
              <w:t>shall cover losses incurred by the Financial Institution</w:t>
            </w:r>
            <w:r w:rsidR="003F5128">
              <w:t>/</w:t>
            </w:r>
            <w:r w:rsidRPr="002671DF">
              <w:t>s in respect of each defaulted Eligible Loan in accordance with the Guarantee Rate. The Guarantee Rate shall be 80% of each Eligible Loan in the Portfolio</w:t>
            </w:r>
            <w:r w:rsidR="00C04FA0">
              <w:t>.</w:t>
            </w:r>
          </w:p>
        </w:tc>
      </w:tr>
      <w:tr w:rsidR="00391091" w:rsidRPr="006D767A" w14:paraId="69E4DE61" w14:textId="77777777" w:rsidTr="002F7F31">
        <w:tc>
          <w:tcPr>
            <w:tcW w:w="2547" w:type="dxa"/>
          </w:tcPr>
          <w:p w14:paraId="2E61F465" w14:textId="77777777" w:rsidR="00391091" w:rsidRPr="00FE76CC" w:rsidRDefault="00391091" w:rsidP="00CC000A">
            <w:pPr>
              <w:spacing w:before="120" w:after="120"/>
              <w:jc w:val="both"/>
              <w:rPr>
                <w:b/>
              </w:rPr>
            </w:pPr>
            <w:r w:rsidRPr="00FE76CC">
              <w:rPr>
                <w:b/>
              </w:rPr>
              <w:t>Guarantee Cap Rate</w:t>
            </w:r>
          </w:p>
        </w:tc>
        <w:tc>
          <w:tcPr>
            <w:tcW w:w="6469" w:type="dxa"/>
          </w:tcPr>
          <w:p w14:paraId="5F28A7F9" w14:textId="73D3ABB5" w:rsidR="00391091" w:rsidRPr="006D767A" w:rsidRDefault="00391091" w:rsidP="00CC000A">
            <w:pPr>
              <w:spacing w:before="120" w:after="120"/>
              <w:jc w:val="both"/>
            </w:pPr>
            <w:r w:rsidRPr="006D767A">
              <w:t xml:space="preserve">The </w:t>
            </w:r>
            <w:r>
              <w:t>Guarantee C</w:t>
            </w:r>
            <w:r w:rsidRPr="006D767A">
              <w:t xml:space="preserve">ap </w:t>
            </w:r>
            <w:r>
              <w:t>R</w:t>
            </w:r>
            <w:r w:rsidRPr="006D767A">
              <w:t xml:space="preserve">ate </w:t>
            </w:r>
            <w:r>
              <w:t xml:space="preserve">is </w:t>
            </w:r>
            <w:r w:rsidRPr="006D767A">
              <w:t>expressed as a percentage of the</w:t>
            </w:r>
            <w:r w:rsidR="00C04FA0">
              <w:t xml:space="preserve"> guaranteed part of the</w:t>
            </w:r>
            <w:r w:rsidRPr="006D767A">
              <w:t xml:space="preserve"> Actual </w:t>
            </w:r>
            <w:r w:rsidR="00C04FA0">
              <w:t xml:space="preserve">Portfolio </w:t>
            </w:r>
            <w:r w:rsidRPr="006D767A">
              <w:t>Volume.</w:t>
            </w:r>
          </w:p>
          <w:p w14:paraId="41565B32" w14:textId="04397B2C" w:rsidR="00391091" w:rsidRPr="006D767A" w:rsidRDefault="00391091" w:rsidP="00CC000A">
            <w:pPr>
              <w:spacing w:before="120" w:after="120"/>
              <w:jc w:val="both"/>
            </w:pPr>
            <w:r w:rsidRPr="006D767A">
              <w:t xml:space="preserve">Losses covered by the </w:t>
            </w:r>
            <w:r w:rsidR="00C04FA0">
              <w:t xml:space="preserve">Guarantee </w:t>
            </w:r>
            <w:r w:rsidRPr="006D767A">
              <w:t xml:space="preserve">in respect of the Portfolio of Eligible </w:t>
            </w:r>
            <w:r>
              <w:t>L</w:t>
            </w:r>
            <w:r w:rsidRPr="006D767A">
              <w:t>oans shall not in aggregate exceed the Cap Amount.</w:t>
            </w:r>
          </w:p>
          <w:p w14:paraId="28F569B4" w14:textId="77777777" w:rsidR="00391091" w:rsidRPr="006D767A" w:rsidRDefault="00391091" w:rsidP="00CC000A">
            <w:pPr>
              <w:spacing w:before="120" w:after="120"/>
              <w:jc w:val="both"/>
            </w:pPr>
            <w:r w:rsidRPr="006D767A">
              <w:t xml:space="preserve">The </w:t>
            </w:r>
            <w:r>
              <w:t xml:space="preserve">Guarantee </w:t>
            </w:r>
            <w:r w:rsidRPr="006D767A">
              <w:t xml:space="preserve">Cap </w:t>
            </w:r>
            <w:r>
              <w:t>R</w:t>
            </w:r>
            <w:r w:rsidRPr="006D767A">
              <w:t xml:space="preserve">ate is 25%. </w:t>
            </w:r>
          </w:p>
        </w:tc>
      </w:tr>
      <w:tr w:rsidR="00391091" w:rsidRPr="006D767A" w14:paraId="345D16CD" w14:textId="77777777" w:rsidTr="002F7F31">
        <w:tc>
          <w:tcPr>
            <w:tcW w:w="2547" w:type="dxa"/>
          </w:tcPr>
          <w:p w14:paraId="0C340DBA" w14:textId="77777777" w:rsidR="00391091" w:rsidRPr="00FE76CC" w:rsidRDefault="00391091" w:rsidP="00CC000A">
            <w:pPr>
              <w:spacing w:before="120" w:after="120"/>
              <w:jc w:val="both"/>
              <w:rPr>
                <w:b/>
              </w:rPr>
            </w:pPr>
            <w:r w:rsidRPr="00FE76CC">
              <w:rPr>
                <w:b/>
              </w:rPr>
              <w:t>Cap Amount</w:t>
            </w:r>
          </w:p>
        </w:tc>
        <w:tc>
          <w:tcPr>
            <w:tcW w:w="6469" w:type="dxa"/>
          </w:tcPr>
          <w:p w14:paraId="43FF4DEB" w14:textId="0BD832DE" w:rsidR="00391091" w:rsidRPr="006D767A" w:rsidRDefault="00391091" w:rsidP="00CC000A">
            <w:pPr>
              <w:spacing w:before="120" w:after="120"/>
              <w:jc w:val="both"/>
            </w:pPr>
            <w:r w:rsidRPr="006D767A">
              <w:t xml:space="preserve">The </w:t>
            </w:r>
            <w:r w:rsidR="00635556">
              <w:t xml:space="preserve">maximum </w:t>
            </w:r>
            <w:r w:rsidRPr="006D767A">
              <w:t>amount, expressed in E</w:t>
            </w:r>
            <w:r>
              <w:t>UR</w:t>
            </w:r>
            <w:r w:rsidRPr="006D767A">
              <w:t xml:space="preserve">, as agreed in the Operational Agreement, which </w:t>
            </w:r>
            <w:r>
              <w:t xml:space="preserve">the </w:t>
            </w:r>
            <w:r w:rsidRPr="006D767A">
              <w:t>MDB</w:t>
            </w:r>
            <w:r w:rsidR="00635556">
              <w:t xml:space="preserve"> i</w:t>
            </w:r>
            <w:r>
              <w:t>s</w:t>
            </w:r>
            <w:r w:rsidRPr="006D767A">
              <w:t xml:space="preserve"> oblig</w:t>
            </w:r>
            <w:r w:rsidR="00635556">
              <w:t xml:space="preserve">ed </w:t>
            </w:r>
            <w:r w:rsidRPr="006D767A">
              <w:t>to pay under the Financial Instrumen</w:t>
            </w:r>
            <w:r w:rsidR="00387F8E">
              <w:t>t.</w:t>
            </w:r>
          </w:p>
        </w:tc>
      </w:tr>
      <w:tr w:rsidR="00391091" w:rsidRPr="006D767A" w14:paraId="4314632B" w14:textId="77777777" w:rsidTr="002F7F31">
        <w:tc>
          <w:tcPr>
            <w:tcW w:w="2547" w:type="dxa"/>
          </w:tcPr>
          <w:p w14:paraId="7240758F" w14:textId="77777777" w:rsidR="00391091" w:rsidRPr="00FE76CC" w:rsidRDefault="00391091" w:rsidP="00FE76CC">
            <w:pPr>
              <w:spacing w:before="120" w:after="120"/>
              <w:rPr>
                <w:b/>
              </w:rPr>
            </w:pPr>
            <w:r w:rsidRPr="00FE76CC">
              <w:rPr>
                <w:b/>
              </w:rPr>
              <w:t>Guarantee Final Termination Date</w:t>
            </w:r>
          </w:p>
        </w:tc>
        <w:tc>
          <w:tcPr>
            <w:tcW w:w="6469" w:type="dxa"/>
          </w:tcPr>
          <w:p w14:paraId="2DEAECE8" w14:textId="64469110" w:rsidR="00391091" w:rsidRPr="006D767A" w:rsidRDefault="00391091" w:rsidP="00CC000A">
            <w:pPr>
              <w:spacing w:before="120" w:after="120"/>
              <w:jc w:val="both"/>
            </w:pPr>
            <w:r w:rsidRPr="006D767A">
              <w:t xml:space="preserve">The </w:t>
            </w:r>
            <w:r>
              <w:t>G</w:t>
            </w:r>
            <w:r w:rsidRPr="006D767A">
              <w:t>uarantee will terminate on the earlier of: (i)</w:t>
            </w:r>
            <w:r>
              <w:t xml:space="preserve"> </w:t>
            </w:r>
            <w:r w:rsidRPr="006D767A">
              <w:t>six</w:t>
            </w:r>
            <w:r w:rsidR="005C4541">
              <w:t xml:space="preserve"> (6)</w:t>
            </w:r>
            <w:r w:rsidRPr="006D767A">
              <w:t xml:space="preserve"> months following the latest loan Maturity Date; (ii) the date on which an Early Termination (if any) has occurred and (iii) the date (if any) on which the MDB is no longer liable to effect further payments to the Financial Institution</w:t>
            </w:r>
            <w:r>
              <w:t xml:space="preserve"> </w:t>
            </w:r>
            <w:r w:rsidRPr="006D767A">
              <w:t>and has no further claims under the Guarantee.</w:t>
            </w:r>
          </w:p>
          <w:p w14:paraId="1AB594A6" w14:textId="6907307E" w:rsidR="009755E3" w:rsidRPr="006D767A" w:rsidRDefault="00391091" w:rsidP="00E30892">
            <w:pPr>
              <w:spacing w:before="120" w:after="120"/>
              <w:jc w:val="both"/>
            </w:pPr>
            <w:r w:rsidRPr="006D767A">
              <w:t xml:space="preserve">Upon </w:t>
            </w:r>
            <w:r>
              <w:t>t</w:t>
            </w:r>
            <w:r w:rsidRPr="006D767A">
              <w:t xml:space="preserve">ermination of the </w:t>
            </w:r>
            <w:r>
              <w:t>Operational</w:t>
            </w:r>
            <w:r w:rsidRPr="006D767A">
              <w:t xml:space="preserve"> Agreement, </w:t>
            </w:r>
            <w:r>
              <w:t xml:space="preserve">the </w:t>
            </w:r>
            <w:r w:rsidRPr="006D767A">
              <w:t xml:space="preserve">MDB will initiate negotiations with the Financial Institution to agree on the settlement of any outstanding rights and liabilities based, inter alia, on an estimate of future loss </w:t>
            </w:r>
            <w:r>
              <w:t>r</w:t>
            </w:r>
            <w:r w:rsidRPr="006D767A">
              <w:t xml:space="preserve">ecoveries (including, for the avoidance of doubt, any </w:t>
            </w:r>
            <w:r>
              <w:t>r</w:t>
            </w:r>
            <w:r w:rsidRPr="006D767A">
              <w:t xml:space="preserve">ecoveries arising under the right of clawback) and outstanding liabilities in relation to </w:t>
            </w:r>
            <w:r>
              <w:t>l</w:t>
            </w:r>
            <w:r w:rsidRPr="006D767A">
              <w:t xml:space="preserve">osses </w:t>
            </w:r>
            <w:proofErr w:type="gramStart"/>
            <w:r w:rsidRPr="006D767A">
              <w:t>in light of</w:t>
            </w:r>
            <w:proofErr w:type="gramEnd"/>
            <w:r w:rsidRPr="006D767A">
              <w:t xml:space="preserve"> the respective </w:t>
            </w:r>
            <w:r w:rsidR="00C04FA0">
              <w:t>C</w:t>
            </w:r>
            <w:r w:rsidR="00C04FA0" w:rsidRPr="006D767A">
              <w:t xml:space="preserve">ap </w:t>
            </w:r>
            <w:r w:rsidR="00C04FA0">
              <w:t>A</w:t>
            </w:r>
            <w:r w:rsidR="00C04FA0" w:rsidRPr="006D767A">
              <w:t>mount</w:t>
            </w:r>
            <w:r w:rsidRPr="006D767A">
              <w:t>.</w:t>
            </w:r>
          </w:p>
        </w:tc>
      </w:tr>
      <w:tr w:rsidR="00391091" w:rsidRPr="006D767A" w14:paraId="5877BA1C" w14:textId="77777777" w:rsidTr="002F7F31">
        <w:tc>
          <w:tcPr>
            <w:tcW w:w="2547" w:type="dxa"/>
          </w:tcPr>
          <w:p w14:paraId="002D51AD" w14:textId="77777777" w:rsidR="00391091" w:rsidRPr="00FE76CC" w:rsidRDefault="00391091" w:rsidP="00CC000A">
            <w:pPr>
              <w:spacing w:before="120" w:after="120"/>
              <w:jc w:val="both"/>
              <w:rPr>
                <w:b/>
              </w:rPr>
            </w:pPr>
            <w:r w:rsidRPr="00FE76CC">
              <w:rPr>
                <w:b/>
              </w:rPr>
              <w:t>Guarantee Cover</w:t>
            </w:r>
          </w:p>
        </w:tc>
        <w:tc>
          <w:tcPr>
            <w:tcW w:w="6469" w:type="dxa"/>
          </w:tcPr>
          <w:p w14:paraId="65A30049" w14:textId="4C0431D6" w:rsidR="00391091" w:rsidRPr="006D767A" w:rsidRDefault="00391091" w:rsidP="00CC000A">
            <w:pPr>
              <w:spacing w:before="120" w:after="120"/>
              <w:jc w:val="both"/>
            </w:pPr>
            <w:r w:rsidRPr="006D767A">
              <w:t>Losses deriving from principal and interest unpaid at the time of default, excluding late payment fees, default interest, capitalised interest</w:t>
            </w:r>
            <w:r w:rsidR="00C04FA0">
              <w:t>s</w:t>
            </w:r>
            <w:r w:rsidRPr="006D767A">
              <w:t xml:space="preserve"> and fees. Losses should exclude any interest payments claimed/to be claimed from the </w:t>
            </w:r>
            <w:r>
              <w:t>interest rate subsidy</w:t>
            </w:r>
            <w:r w:rsidRPr="006D767A">
              <w:t xml:space="preserve">, during the default period. </w:t>
            </w:r>
          </w:p>
          <w:p w14:paraId="1FC15F74" w14:textId="62234055" w:rsidR="009755E3" w:rsidRPr="006D767A" w:rsidRDefault="00391091" w:rsidP="00C45173">
            <w:pPr>
              <w:spacing w:before="120" w:after="120"/>
              <w:jc w:val="both"/>
            </w:pPr>
            <w:r w:rsidRPr="006D767A">
              <w:t xml:space="preserve">The </w:t>
            </w:r>
            <w:r w:rsidRPr="00EA15FB">
              <w:rPr>
                <w:color w:val="000000" w:themeColor="text1"/>
              </w:rPr>
              <w:t xml:space="preserve">MDB will rank </w:t>
            </w:r>
            <w:proofErr w:type="spellStart"/>
            <w:r w:rsidRPr="002F399D">
              <w:rPr>
                <w:i/>
              </w:rPr>
              <w:t>pari</w:t>
            </w:r>
            <w:proofErr w:type="spellEnd"/>
            <w:r w:rsidRPr="002F399D">
              <w:rPr>
                <w:i/>
              </w:rPr>
              <w:t xml:space="preserve"> </w:t>
            </w:r>
            <w:proofErr w:type="spellStart"/>
            <w:r w:rsidRPr="002F399D">
              <w:rPr>
                <w:i/>
              </w:rPr>
              <w:t>passu</w:t>
            </w:r>
            <w:proofErr w:type="spellEnd"/>
            <w:r w:rsidRPr="006D767A">
              <w:t xml:space="preserve"> with the Financial Institution</w:t>
            </w:r>
            <w:r w:rsidR="00912D5A">
              <w:t>/s</w:t>
            </w:r>
            <w:r w:rsidRPr="006D767A">
              <w:t xml:space="preserve"> with respect to recoveries as further described in ‘Servicing and Recoveries’ below; recover</w:t>
            </w:r>
            <w:r w:rsidR="00C04FA0">
              <w:t>ies</w:t>
            </w:r>
            <w:r w:rsidRPr="006D767A">
              <w:t xml:space="preserve"> paid to MDB shall be net of recovering/foreclosure costs.</w:t>
            </w:r>
          </w:p>
        </w:tc>
      </w:tr>
      <w:tr w:rsidR="00391091" w:rsidRPr="006D767A" w14:paraId="5E73F950" w14:textId="77777777" w:rsidTr="002F7F31">
        <w:tc>
          <w:tcPr>
            <w:tcW w:w="2547" w:type="dxa"/>
          </w:tcPr>
          <w:p w14:paraId="042B9D44" w14:textId="77777777" w:rsidR="00391091" w:rsidRPr="00FE76CC" w:rsidRDefault="00391091" w:rsidP="00CC000A">
            <w:pPr>
              <w:spacing w:before="120" w:after="120"/>
              <w:jc w:val="both"/>
              <w:rPr>
                <w:b/>
              </w:rPr>
            </w:pPr>
            <w:r w:rsidRPr="00FE76CC">
              <w:rPr>
                <w:b/>
              </w:rPr>
              <w:t>Availability Period</w:t>
            </w:r>
          </w:p>
        </w:tc>
        <w:tc>
          <w:tcPr>
            <w:tcW w:w="6469" w:type="dxa"/>
          </w:tcPr>
          <w:p w14:paraId="183CEC0F" w14:textId="3644C8DF" w:rsidR="00391091" w:rsidRPr="006D767A" w:rsidRDefault="00391091" w:rsidP="00CC000A">
            <w:pPr>
              <w:spacing w:before="120" w:after="120"/>
              <w:jc w:val="both"/>
            </w:pPr>
            <w:r w:rsidRPr="006D767A">
              <w:t xml:space="preserve">Typically, </w:t>
            </w:r>
            <w:r w:rsidR="007939EF">
              <w:t xml:space="preserve">a maximum of </w:t>
            </w:r>
            <w:r w:rsidR="004C5342">
              <w:t>42</w:t>
            </w:r>
            <w:r w:rsidR="004C5342" w:rsidRPr="006D767A">
              <w:t xml:space="preserve"> </w:t>
            </w:r>
            <w:r w:rsidRPr="006D767A">
              <w:t xml:space="preserve">months </w:t>
            </w:r>
            <w:r w:rsidR="007939EF">
              <w:t xml:space="preserve">depending on the </w:t>
            </w:r>
            <w:r w:rsidRPr="006D767A">
              <w:t>date of signature of the Operational Agreement</w:t>
            </w:r>
            <w:r w:rsidR="007939EF">
              <w:t xml:space="preserve"> but not later than </w:t>
            </w:r>
            <w:r w:rsidR="00826BD9">
              <w:t xml:space="preserve">31 </w:t>
            </w:r>
            <w:r w:rsidR="007939EF">
              <w:t>December 2023</w:t>
            </w:r>
            <w:r w:rsidRPr="006D767A">
              <w:t xml:space="preserve">. During this period Eligible </w:t>
            </w:r>
            <w:r>
              <w:t>L</w:t>
            </w:r>
            <w:r w:rsidRPr="006D767A">
              <w:t>oans may be included by the Financial Institution in the Portfolio for cover. Such inclusion of Eligible Loans shall occur automatically upon receipt by</w:t>
            </w:r>
            <w:r>
              <w:t xml:space="preserve"> the</w:t>
            </w:r>
            <w:r w:rsidRPr="006D767A">
              <w:t xml:space="preserve"> MDB of an inclusion notice submitted by the Financial Institution on a </w:t>
            </w:r>
            <w:r w:rsidR="00C66309">
              <w:t xml:space="preserve">monthly and </w:t>
            </w:r>
            <w:r w:rsidRPr="006D767A">
              <w:t>quarterly basis. For the avoidance of doubt the Eligible Loans so included shall be deemed to be covered by the Guarantee from the date of the signature of such Eligible Loans.</w:t>
            </w:r>
          </w:p>
          <w:p w14:paraId="3DF787A2" w14:textId="77777777" w:rsidR="00391091" w:rsidRPr="006D767A" w:rsidRDefault="00391091" w:rsidP="00CC000A">
            <w:pPr>
              <w:spacing w:before="120" w:after="120"/>
              <w:jc w:val="both"/>
            </w:pPr>
            <w:r w:rsidRPr="006D767A">
              <w:t xml:space="preserve">The underlying Eligible Loans to be covered by the Guarantee and </w:t>
            </w:r>
            <w:r>
              <w:t>interest rate subsidy</w:t>
            </w:r>
            <w:r w:rsidRPr="006D767A">
              <w:t xml:space="preserve"> shall be:</w:t>
            </w:r>
          </w:p>
          <w:p w14:paraId="654125A7" w14:textId="3D77A639" w:rsidR="00CC000A" w:rsidRDefault="00391091" w:rsidP="00D90932">
            <w:pPr>
              <w:pStyle w:val="ListParagraph"/>
              <w:numPr>
                <w:ilvl w:val="1"/>
                <w:numId w:val="16"/>
              </w:numPr>
              <w:spacing w:after="120"/>
              <w:ind w:left="465" w:hanging="437"/>
              <w:contextualSpacing w:val="0"/>
              <w:jc w:val="both"/>
            </w:pPr>
            <w:r w:rsidRPr="006D767A">
              <w:t xml:space="preserve">Eligible Loans </w:t>
            </w:r>
            <w:r w:rsidR="00551B10">
              <w:t>sanctioned</w:t>
            </w:r>
            <w:r w:rsidRPr="006D767A">
              <w:t xml:space="preserve"> within the Availability Period</w:t>
            </w:r>
            <w:r w:rsidR="00512001">
              <w:t>;</w:t>
            </w:r>
            <w:r w:rsidRPr="006D767A">
              <w:t xml:space="preserve"> and </w:t>
            </w:r>
          </w:p>
          <w:p w14:paraId="03A84D5C" w14:textId="65BB9D8F" w:rsidR="00512001" w:rsidRDefault="001A3A6A" w:rsidP="00D90932">
            <w:pPr>
              <w:pStyle w:val="ListParagraph"/>
              <w:numPr>
                <w:ilvl w:val="1"/>
                <w:numId w:val="16"/>
              </w:numPr>
              <w:spacing w:after="120"/>
              <w:ind w:left="465" w:hanging="437"/>
              <w:contextualSpacing w:val="0"/>
              <w:jc w:val="both"/>
            </w:pPr>
            <w:r w:rsidRPr="006D767A">
              <w:t xml:space="preserve">Eligible </w:t>
            </w:r>
            <w:r>
              <w:t xml:space="preserve">Loans </w:t>
            </w:r>
            <w:r w:rsidR="003F5128">
              <w:t xml:space="preserve">fully disbursed </w:t>
            </w:r>
            <w:r w:rsidR="00551B10">
              <w:t>within</w:t>
            </w:r>
            <w:r w:rsidR="003F5128">
              <w:t xml:space="preserve"> the Availability Period</w:t>
            </w:r>
            <w:r w:rsidR="00551B10">
              <w:t>,</w:t>
            </w:r>
            <w:r w:rsidR="003F5128">
              <w:t xml:space="preserve"> that is</w:t>
            </w:r>
            <w:r w:rsidR="00551B10">
              <w:t xml:space="preserve"> by </w:t>
            </w:r>
            <w:proofErr w:type="spellStart"/>
            <w:r w:rsidR="00551B10">
              <w:t>not</w:t>
            </w:r>
            <w:proofErr w:type="spellEnd"/>
            <w:r w:rsidR="00551B10">
              <w:t xml:space="preserve"> later than</w:t>
            </w:r>
            <w:r w:rsidR="003F5128">
              <w:t xml:space="preserve"> 31 December 2023</w:t>
            </w:r>
            <w:r w:rsidR="00512001">
              <w:t xml:space="preserve"> </w:t>
            </w:r>
          </w:p>
          <w:p w14:paraId="3ED3CD33" w14:textId="17345986" w:rsidR="00391091" w:rsidRPr="006D767A" w:rsidRDefault="00512001" w:rsidP="00C45173">
            <w:pPr>
              <w:spacing w:before="120" w:after="120"/>
              <w:jc w:val="both"/>
              <w:rPr>
                <w:color w:val="00B0F0"/>
              </w:rPr>
            </w:pPr>
            <w:r>
              <w:t xml:space="preserve">This means that all Eligible Student Transactions must be fully disbursed by 31 December 2023. In the case where the course term goes beyond the 31 December 2023, the allocated loan funds need to be fully disbursed and placed in the student account against a ‘hold’ on the funds. The Financial Institution will continue to regularly disburse the funding in line with the held funds as permitted in the section </w:t>
            </w:r>
            <w:r w:rsidR="001A3A6A" w:rsidRPr="00896999">
              <w:t>–</w:t>
            </w:r>
            <w:r w:rsidRPr="00896999">
              <w:t xml:space="preserve"> </w:t>
            </w:r>
            <w:r w:rsidR="001A3A6A" w:rsidRPr="00896999">
              <w:t>‘</w:t>
            </w:r>
            <w:r w:rsidRPr="006D767A">
              <w:t xml:space="preserve">Size and drawings of Eligible </w:t>
            </w:r>
            <w:r>
              <w:t>L</w:t>
            </w:r>
            <w:r w:rsidRPr="006D767A">
              <w:t>oans</w:t>
            </w:r>
            <w:r w:rsidR="001A3A6A">
              <w:t>’</w:t>
            </w:r>
            <w:r>
              <w:t>.</w:t>
            </w:r>
          </w:p>
        </w:tc>
      </w:tr>
      <w:tr w:rsidR="00391091" w:rsidRPr="006D767A" w14:paraId="3ECB094C" w14:textId="77777777" w:rsidTr="002F7F31">
        <w:tc>
          <w:tcPr>
            <w:tcW w:w="2547" w:type="dxa"/>
          </w:tcPr>
          <w:p w14:paraId="2B187FD0" w14:textId="51281786" w:rsidR="00FE76CC" w:rsidRDefault="00412C60" w:rsidP="00FE76CC">
            <w:pPr>
              <w:spacing w:before="120"/>
              <w:jc w:val="both"/>
              <w:rPr>
                <w:b/>
              </w:rPr>
            </w:pPr>
            <w:r w:rsidRPr="00FE76CC">
              <w:rPr>
                <w:b/>
              </w:rPr>
              <w:t xml:space="preserve">Eligible </w:t>
            </w:r>
            <w:r w:rsidR="00391091" w:rsidRPr="00FE76CC">
              <w:rPr>
                <w:b/>
              </w:rPr>
              <w:t xml:space="preserve">Student </w:t>
            </w:r>
          </w:p>
          <w:p w14:paraId="22305F76" w14:textId="24A362F8" w:rsidR="00391091" w:rsidRPr="00FE76CC" w:rsidRDefault="00391091" w:rsidP="00FE76CC">
            <w:pPr>
              <w:jc w:val="both"/>
              <w:rPr>
                <w:b/>
              </w:rPr>
            </w:pPr>
            <w:r w:rsidRPr="00FE76CC">
              <w:rPr>
                <w:b/>
              </w:rPr>
              <w:t>(final recipient)</w:t>
            </w:r>
          </w:p>
        </w:tc>
        <w:tc>
          <w:tcPr>
            <w:tcW w:w="6469" w:type="dxa"/>
          </w:tcPr>
          <w:p w14:paraId="67ECA5B5" w14:textId="4934E4A9" w:rsidR="00391091" w:rsidRPr="002F399D" w:rsidRDefault="00391091" w:rsidP="00D9245C">
            <w:pPr>
              <w:pStyle w:val="ListParagraph"/>
              <w:spacing w:before="60" w:after="60"/>
              <w:ind w:left="40"/>
              <w:contextualSpacing w:val="0"/>
              <w:jc w:val="both"/>
              <w:rPr>
                <w:i/>
              </w:rPr>
            </w:pPr>
            <w:r>
              <w:rPr>
                <w:i/>
              </w:rPr>
              <w:t>To be eligible for a loan, a Student shall satisfy one of the following conditions on the date of application:</w:t>
            </w:r>
          </w:p>
          <w:p w14:paraId="7C9DF408" w14:textId="224BCD7D" w:rsidR="00391091" w:rsidRPr="009755E3" w:rsidRDefault="00391091" w:rsidP="00D9245C">
            <w:pPr>
              <w:pStyle w:val="ListParagraph"/>
              <w:numPr>
                <w:ilvl w:val="0"/>
                <w:numId w:val="13"/>
              </w:numPr>
              <w:spacing w:before="60" w:after="60"/>
              <w:ind w:left="465" w:hanging="425"/>
              <w:contextualSpacing w:val="0"/>
              <w:jc w:val="both"/>
            </w:pPr>
            <w:r w:rsidRPr="009755E3">
              <w:t xml:space="preserve">Is a Maltese citizen; </w:t>
            </w:r>
            <w:r w:rsidRPr="009755E3">
              <w:rPr>
                <w:b/>
              </w:rPr>
              <w:t>OR</w:t>
            </w:r>
          </w:p>
          <w:p w14:paraId="08CDFD4A" w14:textId="77777777" w:rsidR="00391091" w:rsidRPr="006D767A" w:rsidRDefault="00391091" w:rsidP="00D9245C">
            <w:pPr>
              <w:pStyle w:val="ListParagraph"/>
              <w:numPr>
                <w:ilvl w:val="0"/>
                <w:numId w:val="13"/>
              </w:numPr>
              <w:spacing w:before="60" w:after="60"/>
              <w:ind w:left="465" w:hanging="425"/>
              <w:contextualSpacing w:val="0"/>
              <w:jc w:val="both"/>
            </w:pPr>
            <w:r>
              <w:t>Is</w:t>
            </w:r>
            <w:r w:rsidRPr="006D767A">
              <w:t xml:space="preserve"> a national of an EU/EEA </w:t>
            </w:r>
            <w:r>
              <w:t>Member S</w:t>
            </w:r>
            <w:r w:rsidRPr="006D767A">
              <w:t xml:space="preserve">tate or a family member of such EU/EEA national (as defined in SL460.17 and SL217.04 respectively for EU and EEA nationals), provided that such person has obtained permanent residence in Malta in accordance with SL460.17 and in SL217.04 respectively for EU and EEA nationals; </w:t>
            </w:r>
            <w:r w:rsidRPr="006D767A">
              <w:rPr>
                <w:b/>
              </w:rPr>
              <w:t>OR</w:t>
            </w:r>
          </w:p>
          <w:p w14:paraId="3B09048D" w14:textId="77777777" w:rsidR="00391091" w:rsidRPr="006D767A" w:rsidRDefault="00391091" w:rsidP="00D9245C">
            <w:pPr>
              <w:pStyle w:val="ListParagraph"/>
              <w:numPr>
                <w:ilvl w:val="0"/>
                <w:numId w:val="13"/>
              </w:numPr>
              <w:spacing w:before="60" w:after="60"/>
              <w:ind w:left="465" w:hanging="425"/>
              <w:contextualSpacing w:val="0"/>
              <w:jc w:val="both"/>
            </w:pPr>
            <w:r>
              <w:t>Is</w:t>
            </w:r>
            <w:r w:rsidRPr="006D767A">
              <w:t xml:space="preserve"> a national of an EU/EEA </w:t>
            </w:r>
            <w:r>
              <w:t>Member S</w:t>
            </w:r>
            <w:r w:rsidRPr="006D767A">
              <w:t xml:space="preserve">tate who is in Malta exercising his/her </w:t>
            </w:r>
            <w:r>
              <w:t>T</w:t>
            </w:r>
            <w:r w:rsidRPr="006D767A">
              <w:t xml:space="preserve">reaty rights as an employee, self-employed person or person retaining such status in accordance with SL460.17; </w:t>
            </w:r>
            <w:r w:rsidRPr="006D767A">
              <w:rPr>
                <w:b/>
              </w:rPr>
              <w:t>OR</w:t>
            </w:r>
          </w:p>
          <w:p w14:paraId="7FDCA88A" w14:textId="7F0902E3" w:rsidR="00391091" w:rsidRPr="006D767A" w:rsidRDefault="00391091" w:rsidP="00D9245C">
            <w:pPr>
              <w:pStyle w:val="ListParagraph"/>
              <w:numPr>
                <w:ilvl w:val="0"/>
                <w:numId w:val="13"/>
              </w:numPr>
              <w:spacing w:before="60" w:after="60"/>
              <w:ind w:left="465" w:hanging="425"/>
              <w:contextualSpacing w:val="0"/>
              <w:jc w:val="both"/>
            </w:pPr>
            <w:r>
              <w:t>Is</w:t>
            </w:r>
            <w:r w:rsidRPr="006D767A">
              <w:t xml:space="preserve"> a third country national that has been granted long-term residence status </w:t>
            </w:r>
            <w:r w:rsidR="00896999">
              <w:t xml:space="preserve">in Malta </w:t>
            </w:r>
            <w:r w:rsidRPr="006D767A">
              <w:t>under SL217.05</w:t>
            </w:r>
            <w:r w:rsidR="00896999">
              <w:t>.</w:t>
            </w:r>
          </w:p>
          <w:p w14:paraId="1C9C99F5" w14:textId="030406F0" w:rsidR="00391091" w:rsidRPr="006D767A" w:rsidRDefault="00391091" w:rsidP="00D9245C">
            <w:pPr>
              <w:spacing w:before="60" w:after="60"/>
              <w:jc w:val="both"/>
            </w:pPr>
            <w:r w:rsidRPr="006D767A">
              <w:t xml:space="preserve">(note: in case of married couples where the </w:t>
            </w:r>
            <w:r>
              <w:t>Eligible L</w:t>
            </w:r>
            <w:r w:rsidRPr="006D767A">
              <w:t>oan needs to be issued in the joint names under the Family Law, one of the applying part</w:t>
            </w:r>
            <w:r w:rsidR="002671DF">
              <w:t>ies</w:t>
            </w:r>
            <w:r w:rsidRPr="006D767A">
              <w:t xml:space="preserve"> needs to </w:t>
            </w:r>
            <w:r w:rsidR="002671DF">
              <w:t>comply with at leas</w:t>
            </w:r>
            <w:r w:rsidR="00461BE9">
              <w:t xml:space="preserve">t </w:t>
            </w:r>
            <w:r w:rsidRPr="006D767A">
              <w:t>one of the categories above)</w:t>
            </w:r>
            <w:r>
              <w:t>.</w:t>
            </w:r>
          </w:p>
        </w:tc>
      </w:tr>
      <w:tr w:rsidR="00391091" w:rsidRPr="006D767A" w14:paraId="2E2A5B91" w14:textId="77777777" w:rsidTr="002F7F31">
        <w:tc>
          <w:tcPr>
            <w:tcW w:w="2547" w:type="dxa"/>
          </w:tcPr>
          <w:p w14:paraId="0E30726B" w14:textId="77777777" w:rsidR="00391091" w:rsidRPr="00FE76CC" w:rsidRDefault="00391091" w:rsidP="00CC000A">
            <w:pPr>
              <w:spacing w:before="120" w:after="120"/>
              <w:jc w:val="both"/>
              <w:rPr>
                <w:b/>
              </w:rPr>
            </w:pPr>
            <w:r w:rsidRPr="00FE76CC">
              <w:rPr>
                <w:b/>
              </w:rPr>
              <w:t>Eligible Loans</w:t>
            </w:r>
          </w:p>
        </w:tc>
        <w:tc>
          <w:tcPr>
            <w:tcW w:w="6469" w:type="dxa"/>
          </w:tcPr>
          <w:p w14:paraId="73A2231F" w14:textId="17C0B335" w:rsidR="00391091" w:rsidRPr="006D767A" w:rsidRDefault="00391091" w:rsidP="00CC000A">
            <w:pPr>
              <w:spacing w:before="120" w:after="120"/>
              <w:jc w:val="both"/>
            </w:pPr>
            <w:r w:rsidRPr="006D767A">
              <w:t>The loan should be tied to pursuing a study programme</w:t>
            </w:r>
            <w:r w:rsidR="0078694D">
              <w:t xml:space="preserve"> which is an  </w:t>
            </w:r>
            <w:r w:rsidR="00FF1240">
              <w:t xml:space="preserve"> </w:t>
            </w:r>
            <w:r w:rsidR="00A61539">
              <w:t>accredited course in MQF levels</w:t>
            </w:r>
            <w:r w:rsidR="00010E93">
              <w:t xml:space="preserve"> </w:t>
            </w:r>
            <w:r w:rsidR="003F5128">
              <w:t>5,</w:t>
            </w:r>
            <w:r w:rsidR="00A61539">
              <w:t xml:space="preserve"> 6,</w:t>
            </w:r>
            <w:r w:rsidR="00896999">
              <w:t xml:space="preserve"> </w:t>
            </w:r>
            <w:r w:rsidR="00A61539">
              <w:t>7 and 8</w:t>
            </w:r>
            <w:r w:rsidR="00010E93">
              <w:t>,</w:t>
            </w:r>
            <w:r w:rsidR="00A61539">
              <w:t xml:space="preserve"> as well as internationally-recognised </w:t>
            </w:r>
            <w:r w:rsidR="003F5128">
              <w:t>certificates</w:t>
            </w:r>
            <w:r w:rsidR="00115C2C">
              <w:t xml:space="preserve">. The loans </w:t>
            </w:r>
            <w:proofErr w:type="gramStart"/>
            <w:r w:rsidR="00896999">
              <w:t xml:space="preserve">are  </w:t>
            </w:r>
            <w:r w:rsidR="00115C2C">
              <w:t>to</w:t>
            </w:r>
            <w:proofErr w:type="gramEnd"/>
            <w:r w:rsidR="00115C2C">
              <w:t xml:space="preserve"> be made available for full time and part time studies.</w:t>
            </w:r>
          </w:p>
        </w:tc>
      </w:tr>
      <w:tr w:rsidR="00391091" w:rsidRPr="006D767A" w14:paraId="4E02591D" w14:textId="77777777" w:rsidTr="002F7F31">
        <w:tc>
          <w:tcPr>
            <w:tcW w:w="2547" w:type="dxa"/>
          </w:tcPr>
          <w:p w14:paraId="2A079488" w14:textId="77777777" w:rsidR="00391091" w:rsidRPr="00FE76CC" w:rsidRDefault="00391091" w:rsidP="00CC000A">
            <w:pPr>
              <w:spacing w:before="120" w:after="120"/>
              <w:jc w:val="both"/>
              <w:rPr>
                <w:b/>
              </w:rPr>
            </w:pPr>
            <w:r w:rsidRPr="00FE76CC">
              <w:rPr>
                <w:b/>
              </w:rPr>
              <w:t>Tenor of Eligible Loans</w:t>
            </w:r>
          </w:p>
        </w:tc>
        <w:tc>
          <w:tcPr>
            <w:tcW w:w="6469" w:type="dxa"/>
          </w:tcPr>
          <w:p w14:paraId="7FD9EA7D" w14:textId="77777777" w:rsidR="00391091" w:rsidRPr="006D767A" w:rsidRDefault="00391091" w:rsidP="00D9245C">
            <w:pPr>
              <w:spacing w:before="80" w:after="80"/>
              <w:jc w:val="both"/>
            </w:pPr>
            <w:bookmarkStart w:id="9" w:name="_Hlk9493765"/>
            <w:r w:rsidRPr="006D767A">
              <w:t>All loans will carry a moratorium period on capital repayments. The Moratorium on capital repayments should cover:</w:t>
            </w:r>
          </w:p>
          <w:p w14:paraId="3ACF68CC" w14:textId="5613C528" w:rsidR="00704913" w:rsidRPr="003D6EEC" w:rsidRDefault="00704913" w:rsidP="00D9245C">
            <w:pPr>
              <w:spacing w:before="80" w:after="80"/>
              <w:jc w:val="both"/>
            </w:pPr>
            <w:r w:rsidRPr="003D6EEC">
              <w:t xml:space="preserve">The course period plus an additional </w:t>
            </w:r>
            <w:r w:rsidR="00C3054F" w:rsidRPr="003D6EEC">
              <w:t>one (1) year</w:t>
            </w:r>
            <w:r w:rsidRPr="003D6EEC">
              <w:t xml:space="preserve">, </w:t>
            </w:r>
            <w:r w:rsidR="00C3054F" w:rsidRPr="003D6EEC">
              <w:t>subject to</w:t>
            </w:r>
            <w:r w:rsidRPr="003D6EEC">
              <w:t xml:space="preserve"> a maximum</w:t>
            </w:r>
            <w:r w:rsidR="00C3054F" w:rsidRPr="003D6EEC">
              <w:t xml:space="preserve"> moratorium period of five (5) years.</w:t>
            </w:r>
          </w:p>
          <w:p w14:paraId="3BDCE3D5" w14:textId="3844E2E6" w:rsidR="00391091" w:rsidRPr="003D6EEC" w:rsidRDefault="00391091" w:rsidP="00D9245C">
            <w:pPr>
              <w:spacing w:before="80" w:after="80"/>
              <w:jc w:val="both"/>
            </w:pPr>
            <w:r w:rsidRPr="003D6EEC">
              <w:t xml:space="preserve">The moratorium period may be extended by a further period of not more than </w:t>
            </w:r>
            <w:r w:rsidR="00C3054F" w:rsidRPr="003D6EEC">
              <w:t>one (1) year</w:t>
            </w:r>
            <w:r w:rsidRPr="003D6EEC">
              <w:t>, subject to the provision of evidence showing that:</w:t>
            </w:r>
          </w:p>
          <w:p w14:paraId="241D4643" w14:textId="2A327090" w:rsidR="00391091" w:rsidRPr="003D6EEC" w:rsidRDefault="00391091" w:rsidP="00D9245C">
            <w:pPr>
              <w:pStyle w:val="ListParagraph"/>
              <w:numPr>
                <w:ilvl w:val="0"/>
                <w:numId w:val="19"/>
              </w:numPr>
              <w:spacing w:before="80" w:after="80"/>
              <w:ind w:left="714" w:hanging="357"/>
              <w:contextualSpacing w:val="0"/>
              <w:jc w:val="both"/>
            </w:pPr>
            <w:r w:rsidRPr="003D6EEC">
              <w:t>The course term has been extended; or</w:t>
            </w:r>
          </w:p>
          <w:p w14:paraId="121D47B1" w14:textId="4619422A" w:rsidR="00391091" w:rsidRPr="003D6EEC" w:rsidRDefault="00391091" w:rsidP="00D9245C">
            <w:pPr>
              <w:pStyle w:val="ListParagraph"/>
              <w:numPr>
                <w:ilvl w:val="0"/>
                <w:numId w:val="19"/>
              </w:numPr>
              <w:spacing w:before="80" w:after="80"/>
              <w:ind w:left="714" w:hanging="357"/>
              <w:contextualSpacing w:val="0"/>
              <w:jc w:val="both"/>
            </w:pPr>
            <w:r w:rsidRPr="003D6EEC">
              <w:t xml:space="preserve">The </w:t>
            </w:r>
            <w:r w:rsidR="00896999">
              <w:t>Eligible S</w:t>
            </w:r>
            <w:r w:rsidRPr="003D6EEC">
              <w:t xml:space="preserve">tudent provides evidence of the need for a further period </w:t>
            </w:r>
            <w:r w:rsidR="0063476C" w:rsidRPr="003D6EEC">
              <w:t>to</w:t>
            </w:r>
            <w:r w:rsidRPr="003D6EEC">
              <w:t xml:space="preserve"> complete the course.</w:t>
            </w:r>
          </w:p>
          <w:p w14:paraId="0854127E" w14:textId="692562CA" w:rsidR="00391091" w:rsidRPr="003D6EEC" w:rsidRDefault="00704913" w:rsidP="00D9245C">
            <w:pPr>
              <w:spacing w:before="80" w:after="80"/>
              <w:jc w:val="both"/>
            </w:pPr>
            <w:r w:rsidRPr="003D6EEC">
              <w:t>Notwithstanding u</w:t>
            </w:r>
            <w:r w:rsidR="00391091" w:rsidRPr="003D6EEC">
              <w:t xml:space="preserve">nder no circumstance should the moratorium period exceed the </w:t>
            </w:r>
            <w:r w:rsidR="00C3054F" w:rsidRPr="003D6EEC">
              <w:t>five (5) year term</w:t>
            </w:r>
            <w:r w:rsidR="00391091" w:rsidRPr="003D6EEC">
              <w:t>.</w:t>
            </w:r>
          </w:p>
          <w:p w14:paraId="79491046" w14:textId="5A032F09" w:rsidR="00C3054F" w:rsidRPr="003D6EEC" w:rsidRDefault="00704913" w:rsidP="00D9245C">
            <w:pPr>
              <w:spacing w:before="80" w:after="80"/>
              <w:jc w:val="both"/>
            </w:pPr>
            <w:r w:rsidRPr="003D6EEC">
              <w:t>The maximum loan</w:t>
            </w:r>
            <w:r w:rsidR="00C3054F" w:rsidRPr="003D6EEC">
              <w:t xml:space="preserve"> term of each Eligible </w:t>
            </w:r>
            <w:r w:rsidR="00896999">
              <w:t>L</w:t>
            </w:r>
            <w:r w:rsidR="00896999" w:rsidRPr="003D6EEC">
              <w:t xml:space="preserve">oan </w:t>
            </w:r>
            <w:r w:rsidRPr="003D6EEC">
              <w:t xml:space="preserve">should </w:t>
            </w:r>
            <w:r w:rsidR="00C3054F" w:rsidRPr="003D6EEC">
              <w:t>consist of:</w:t>
            </w:r>
          </w:p>
          <w:p w14:paraId="160281BE" w14:textId="77777777" w:rsidR="00D9245C" w:rsidRDefault="00C3054F" w:rsidP="00D9245C">
            <w:pPr>
              <w:pStyle w:val="ListParagraph"/>
              <w:numPr>
                <w:ilvl w:val="0"/>
                <w:numId w:val="39"/>
              </w:numPr>
              <w:spacing w:before="80" w:after="80"/>
              <w:ind w:left="714" w:hanging="357"/>
              <w:contextualSpacing w:val="0"/>
              <w:jc w:val="both"/>
            </w:pPr>
            <w:r w:rsidRPr="003D6EEC">
              <w:t>The moratorium period covering the term of the course, plus the additional one (1) year, maximum period of five (5) years</w:t>
            </w:r>
            <w:r w:rsidR="003D6EEC" w:rsidRPr="003D6EEC">
              <w:t>; and</w:t>
            </w:r>
          </w:p>
          <w:p w14:paraId="07E1FD38" w14:textId="632ED086" w:rsidR="00704913" w:rsidRPr="003D6EEC" w:rsidRDefault="003D6EEC" w:rsidP="00D9245C">
            <w:pPr>
              <w:pStyle w:val="ListParagraph"/>
              <w:numPr>
                <w:ilvl w:val="0"/>
                <w:numId w:val="39"/>
              </w:numPr>
              <w:spacing w:before="80" w:after="80"/>
              <w:contextualSpacing w:val="0"/>
              <w:jc w:val="both"/>
            </w:pPr>
            <w:r w:rsidRPr="003D6EEC">
              <w:t xml:space="preserve">Loan repayments not exceeding </w:t>
            </w:r>
            <w:r w:rsidR="00704913" w:rsidRPr="003D6EEC">
              <w:t>two times the course period subject to a maximum of ten (10) years</w:t>
            </w:r>
            <w:r w:rsidRPr="003D6EEC">
              <w:t>.</w:t>
            </w:r>
          </w:p>
          <w:p w14:paraId="74DFD9E2" w14:textId="603C1F04" w:rsidR="003D6EEC" w:rsidRPr="003D6EEC" w:rsidRDefault="003D6EEC" w:rsidP="00D9245C">
            <w:pPr>
              <w:spacing w:before="80" w:after="80"/>
              <w:jc w:val="both"/>
            </w:pPr>
            <w:r w:rsidRPr="003D6EEC">
              <w:t>Maximum total loan period</w:t>
            </w:r>
            <w:r w:rsidR="00AA78C7">
              <w:t xml:space="preserve"> </w:t>
            </w:r>
            <w:r w:rsidR="004F17C8">
              <w:t xml:space="preserve">covering the </w:t>
            </w:r>
            <w:r w:rsidRPr="003D6EEC">
              <w:t xml:space="preserve">moratorium </w:t>
            </w:r>
            <w:r w:rsidR="004F17C8">
              <w:t xml:space="preserve">period </w:t>
            </w:r>
            <w:r w:rsidRPr="003D6EEC">
              <w:t>plus</w:t>
            </w:r>
            <w:r w:rsidR="004F17C8">
              <w:t xml:space="preserve"> </w:t>
            </w:r>
            <w:r w:rsidR="000E051E">
              <w:t xml:space="preserve">the </w:t>
            </w:r>
            <w:r w:rsidR="000E051E" w:rsidRPr="003D6EEC">
              <w:t>loan</w:t>
            </w:r>
            <w:r w:rsidRPr="003D6EEC">
              <w:t xml:space="preserve"> </w:t>
            </w:r>
            <w:r w:rsidR="004F17C8">
              <w:t xml:space="preserve">and interest </w:t>
            </w:r>
            <w:r w:rsidRPr="003D6EEC">
              <w:t>repayment</w:t>
            </w:r>
            <w:r w:rsidR="004F17C8">
              <w:t xml:space="preserve"> period</w:t>
            </w:r>
            <w:r w:rsidR="00D10406">
              <w:t>, shall</w:t>
            </w:r>
            <w:r w:rsidRPr="003D6EEC">
              <w:t xml:space="preserve"> not exceed fifteen (15) years from first loan disbursement by the Financial Institution to the Eligible Student.</w:t>
            </w:r>
          </w:p>
          <w:p w14:paraId="1C323AB1" w14:textId="45AD895E" w:rsidR="0078694D" w:rsidRPr="00E87B58" w:rsidRDefault="00391091" w:rsidP="00CC000A">
            <w:pPr>
              <w:spacing w:before="120" w:after="120"/>
              <w:jc w:val="both"/>
            </w:pPr>
            <w:r w:rsidRPr="006D767A">
              <w:t xml:space="preserve">Loan repayments </w:t>
            </w:r>
            <w:r w:rsidR="00291781">
              <w:t>shall commence</w:t>
            </w:r>
            <w:r w:rsidR="003D6EEC">
              <w:t xml:space="preserve"> immediately</w:t>
            </w:r>
            <w:r w:rsidR="00291781">
              <w:t xml:space="preserve"> after the moratorium period and shall be </w:t>
            </w:r>
            <w:r w:rsidR="000E051E">
              <w:t xml:space="preserve">affected </w:t>
            </w:r>
            <w:proofErr w:type="gramStart"/>
            <w:r w:rsidR="00291781">
              <w:t>on a monthly basis</w:t>
            </w:r>
            <w:proofErr w:type="gramEnd"/>
            <w:r w:rsidR="00291781">
              <w:t xml:space="preserve">. </w:t>
            </w:r>
            <w:bookmarkEnd w:id="9"/>
          </w:p>
        </w:tc>
      </w:tr>
      <w:tr w:rsidR="00391091" w:rsidRPr="006D767A" w14:paraId="3B80F294" w14:textId="77777777" w:rsidTr="002F7F31">
        <w:tc>
          <w:tcPr>
            <w:tcW w:w="2547" w:type="dxa"/>
          </w:tcPr>
          <w:p w14:paraId="4B218BF2" w14:textId="77777777" w:rsidR="00391091" w:rsidRPr="00FE76CC" w:rsidRDefault="00391091" w:rsidP="00CC000A">
            <w:pPr>
              <w:spacing w:before="120" w:after="120"/>
              <w:rPr>
                <w:b/>
              </w:rPr>
            </w:pPr>
            <w:r w:rsidRPr="00FE76CC">
              <w:rPr>
                <w:b/>
              </w:rPr>
              <w:t>Use of Eligible Loans</w:t>
            </w:r>
          </w:p>
        </w:tc>
        <w:tc>
          <w:tcPr>
            <w:tcW w:w="6469" w:type="dxa"/>
          </w:tcPr>
          <w:p w14:paraId="610297A8" w14:textId="77777777" w:rsidR="00391091" w:rsidRPr="006D767A" w:rsidRDefault="00391091" w:rsidP="00CC000A">
            <w:pPr>
              <w:spacing w:before="120" w:after="120"/>
              <w:jc w:val="both"/>
            </w:pPr>
            <w:r w:rsidRPr="006D767A">
              <w:t xml:space="preserve">The </w:t>
            </w:r>
            <w:r>
              <w:t>E</w:t>
            </w:r>
            <w:r w:rsidRPr="006D767A">
              <w:t xml:space="preserve">ligible </w:t>
            </w:r>
            <w:r>
              <w:t>L</w:t>
            </w:r>
            <w:r w:rsidRPr="006D767A">
              <w:t xml:space="preserve">oan will specifically finance </w:t>
            </w:r>
            <w:r>
              <w:t>tuition</w:t>
            </w:r>
            <w:r w:rsidRPr="006D767A">
              <w:t xml:space="preserve"> fees, </w:t>
            </w:r>
            <w:r>
              <w:t xml:space="preserve">living expenses, accommodation fees, transport expenses, textbooks and </w:t>
            </w:r>
            <w:r w:rsidRPr="006D767A">
              <w:t>related expenses.</w:t>
            </w:r>
          </w:p>
        </w:tc>
      </w:tr>
      <w:tr w:rsidR="00391091" w:rsidRPr="006D767A" w14:paraId="7AB3CE5A" w14:textId="77777777" w:rsidTr="002F7F31">
        <w:tc>
          <w:tcPr>
            <w:tcW w:w="2547" w:type="dxa"/>
          </w:tcPr>
          <w:p w14:paraId="5CE6FCD8" w14:textId="77777777" w:rsidR="00391091" w:rsidRPr="00FE76CC" w:rsidRDefault="00391091" w:rsidP="00CC000A">
            <w:pPr>
              <w:spacing w:before="120" w:after="120"/>
              <w:jc w:val="both"/>
              <w:rPr>
                <w:b/>
              </w:rPr>
            </w:pPr>
            <w:r w:rsidRPr="00FE76CC">
              <w:rPr>
                <w:b/>
              </w:rPr>
              <w:t>Size and drawings of Eligible Loans</w:t>
            </w:r>
          </w:p>
        </w:tc>
        <w:tc>
          <w:tcPr>
            <w:tcW w:w="6469" w:type="dxa"/>
          </w:tcPr>
          <w:p w14:paraId="247EC595" w14:textId="3EFCF4FE" w:rsidR="00391091" w:rsidRPr="006D767A" w:rsidRDefault="003D6EEC" w:rsidP="00CC000A">
            <w:pPr>
              <w:spacing w:before="120" w:after="120"/>
              <w:jc w:val="both"/>
            </w:pPr>
            <w:r w:rsidRPr="003D6EEC">
              <w:t xml:space="preserve">The </w:t>
            </w:r>
            <w:r w:rsidR="000E051E">
              <w:t>Eligible L</w:t>
            </w:r>
            <w:r w:rsidR="000E051E" w:rsidRPr="003D6EEC">
              <w:t xml:space="preserve">oan </w:t>
            </w:r>
            <w:r w:rsidRPr="003D6EEC">
              <w:t>should cover the full costs of the course as per student budget</w:t>
            </w:r>
            <w:r>
              <w:t>.</w:t>
            </w:r>
            <w:r w:rsidR="00391091" w:rsidRPr="006D767A">
              <w:t xml:space="preserve"> Th</w:t>
            </w:r>
            <w:r w:rsidR="00391091">
              <w:t xml:space="preserve">e annual cost requirements </w:t>
            </w:r>
            <w:r w:rsidR="00391091" w:rsidRPr="006D767A">
              <w:t xml:space="preserve">will be calculated as per </w:t>
            </w:r>
            <w:r w:rsidR="00BE6834">
              <w:t xml:space="preserve">annual </w:t>
            </w:r>
            <w:r w:rsidR="00391091" w:rsidRPr="006D767A">
              <w:t>budget</w:t>
            </w:r>
            <w:r w:rsidR="00BE6834">
              <w:t xml:space="preserve"> e</w:t>
            </w:r>
            <w:r w:rsidR="00391091" w:rsidRPr="006D767A">
              <w:t>s</w:t>
            </w:r>
            <w:r w:rsidR="004A5C99">
              <w:t>t</w:t>
            </w:r>
            <w:r w:rsidR="00BE6834">
              <w:t>imates</w:t>
            </w:r>
            <w:r w:rsidR="00391091" w:rsidRPr="006D767A">
              <w:t xml:space="preserve"> presented by the </w:t>
            </w:r>
            <w:r w:rsidR="00412C60">
              <w:t xml:space="preserve">Eligible </w:t>
            </w:r>
            <w:r w:rsidR="00391091">
              <w:t>S</w:t>
            </w:r>
            <w:r w:rsidR="00391091" w:rsidRPr="006D767A">
              <w:t>tudent. (</w:t>
            </w:r>
            <w:r w:rsidR="00BE6834">
              <w:t>see sample of</w:t>
            </w:r>
            <w:r w:rsidR="00391091" w:rsidRPr="006D767A">
              <w:t xml:space="preserve"> </w:t>
            </w:r>
            <w:r w:rsidR="00BE6834">
              <w:t>Student B</w:t>
            </w:r>
            <w:r w:rsidR="00391091" w:rsidRPr="006D767A">
              <w:t>udget as pe</w:t>
            </w:r>
            <w:r w:rsidR="00391091" w:rsidRPr="00E22D88">
              <w:t xml:space="preserve">r </w:t>
            </w:r>
            <w:r w:rsidR="00E22D88" w:rsidRPr="00E22D88">
              <w:rPr>
                <w:b/>
              </w:rPr>
              <w:t>A</w:t>
            </w:r>
            <w:r w:rsidR="00291781" w:rsidRPr="00E22D88">
              <w:rPr>
                <w:b/>
              </w:rPr>
              <w:t>ttach</w:t>
            </w:r>
            <w:r w:rsidR="00E22D88" w:rsidRPr="00E22D88">
              <w:rPr>
                <w:b/>
              </w:rPr>
              <w:t xml:space="preserve">ment </w:t>
            </w:r>
            <w:r>
              <w:rPr>
                <w:b/>
              </w:rPr>
              <w:t>A to the Call</w:t>
            </w:r>
            <w:r w:rsidR="00391091" w:rsidRPr="00E22D88">
              <w:t>).</w:t>
            </w:r>
          </w:p>
          <w:p w14:paraId="68E90A0A" w14:textId="59632A43" w:rsidR="00391091" w:rsidRPr="006D767A" w:rsidRDefault="003D6EEC" w:rsidP="00CC000A">
            <w:pPr>
              <w:spacing w:before="120" w:after="120"/>
              <w:jc w:val="both"/>
            </w:pPr>
            <w:r>
              <w:t>No upfront contribution</w:t>
            </w:r>
            <w:r w:rsidR="003D38C1">
              <w:t xml:space="preserve"> by the student</w:t>
            </w:r>
            <w:r>
              <w:t xml:space="preserve"> is to be requested by the Financial Institution.</w:t>
            </w:r>
          </w:p>
          <w:p w14:paraId="0A5E278E" w14:textId="5DDC8CAC" w:rsidR="00391091" w:rsidRPr="006D767A" w:rsidRDefault="005B4327" w:rsidP="00CC000A">
            <w:pPr>
              <w:spacing w:before="120" w:after="120"/>
              <w:jc w:val="both"/>
            </w:pPr>
            <w:r>
              <w:t xml:space="preserve">No double funding should be allowed through the loan. </w:t>
            </w:r>
            <w:r w:rsidR="00391091">
              <w:t>If a</w:t>
            </w:r>
            <w:r w:rsidR="00412C60">
              <w:t>n Eligible</w:t>
            </w:r>
            <w:r w:rsidR="00391091">
              <w:t xml:space="preserve"> Student</w:t>
            </w:r>
            <w:r w:rsidR="00391091" w:rsidRPr="006D767A">
              <w:t xml:space="preserve"> </w:t>
            </w:r>
            <w:r w:rsidR="00391091">
              <w:t xml:space="preserve">benefits from </w:t>
            </w:r>
            <w:r w:rsidR="00391091" w:rsidRPr="006D767A">
              <w:t xml:space="preserve">the Students’ </w:t>
            </w:r>
            <w:r w:rsidR="00391091">
              <w:t>M</w:t>
            </w:r>
            <w:r w:rsidR="00391091" w:rsidRPr="006D767A">
              <w:t xml:space="preserve">aintenance Grant Scheme operated by the Government of Malta, payments of </w:t>
            </w:r>
            <w:r w:rsidR="004F5C57">
              <w:t xml:space="preserve">tuition </w:t>
            </w:r>
            <w:r w:rsidR="00391091" w:rsidRPr="006D767A">
              <w:t xml:space="preserve">fees made through such grants should not be covered by the Eligible </w:t>
            </w:r>
            <w:r w:rsidR="00391091">
              <w:t>L</w:t>
            </w:r>
            <w:r w:rsidR="00391091" w:rsidRPr="006D767A">
              <w:t>oan amount.</w:t>
            </w:r>
          </w:p>
          <w:p w14:paraId="1076C0AE" w14:textId="26682938" w:rsidR="00801210" w:rsidRDefault="00391091" w:rsidP="00CC000A">
            <w:pPr>
              <w:spacing w:before="120" w:after="120"/>
              <w:jc w:val="both"/>
            </w:pPr>
            <w:r w:rsidRPr="006D767A">
              <w:t xml:space="preserve">Maximum </w:t>
            </w:r>
            <w:r w:rsidR="004F5C57">
              <w:t xml:space="preserve">loan </w:t>
            </w:r>
            <w:r w:rsidRPr="006D767A">
              <w:t>amounts</w:t>
            </w:r>
            <w:r w:rsidR="004F5C57">
              <w:t xml:space="preserve"> under the FI</w:t>
            </w:r>
            <w:r w:rsidR="00704913">
              <w:t xml:space="preserve"> is </w:t>
            </w:r>
            <w:r w:rsidR="00E079CE">
              <w:t xml:space="preserve">EUR </w:t>
            </w:r>
            <w:r w:rsidR="00704913">
              <w:t>100,000</w:t>
            </w:r>
            <w:r w:rsidR="004B7DB8">
              <w:t xml:space="preserve"> subject to:</w:t>
            </w:r>
          </w:p>
          <w:p w14:paraId="029F8F06" w14:textId="1B897A2E" w:rsidR="004B7DB8" w:rsidRDefault="004B7DB8" w:rsidP="00D90932">
            <w:pPr>
              <w:pStyle w:val="ListParagraph"/>
              <w:numPr>
                <w:ilvl w:val="0"/>
                <w:numId w:val="38"/>
              </w:numPr>
              <w:spacing w:before="120" w:after="120"/>
              <w:contextualSpacing w:val="0"/>
              <w:jc w:val="both"/>
            </w:pPr>
            <w:r>
              <w:t xml:space="preserve">Course budget to be presented by the </w:t>
            </w:r>
            <w:r w:rsidR="00E079CE">
              <w:t>Eligible S</w:t>
            </w:r>
            <w:r>
              <w:t>tudent covering the costs for the course in line with the Transaction Eligibility Criteria</w:t>
            </w:r>
            <w:r w:rsidR="00E079CE">
              <w:t>;</w:t>
            </w:r>
          </w:p>
          <w:p w14:paraId="17C832A5" w14:textId="35CDF05B" w:rsidR="004B7DB8" w:rsidRDefault="004B7DB8" w:rsidP="00D90932">
            <w:pPr>
              <w:pStyle w:val="ListParagraph"/>
              <w:numPr>
                <w:ilvl w:val="0"/>
                <w:numId w:val="38"/>
              </w:numPr>
              <w:spacing w:before="120" w:after="120"/>
              <w:contextualSpacing w:val="0"/>
              <w:jc w:val="both"/>
            </w:pPr>
            <w:r>
              <w:t>Prospective affordability of the repayments</w:t>
            </w:r>
            <w:r w:rsidR="00815074">
              <w:t xml:space="preserve"> as assessed by the Financial Institution</w:t>
            </w:r>
            <w:r w:rsidR="00E079CE">
              <w:t>/s</w:t>
            </w:r>
            <w:r w:rsidR="00815074">
              <w:t>.</w:t>
            </w:r>
          </w:p>
          <w:p w14:paraId="0D23B313" w14:textId="6F34CBD7" w:rsidR="00391091" w:rsidRPr="006D767A" w:rsidRDefault="00391091" w:rsidP="00CC000A">
            <w:pPr>
              <w:spacing w:before="120" w:after="120"/>
              <w:jc w:val="both"/>
            </w:pPr>
            <w:r w:rsidRPr="006D767A">
              <w:t xml:space="preserve">Effective </w:t>
            </w:r>
            <w:r w:rsidR="00E079CE">
              <w:t>drawdowns</w:t>
            </w:r>
            <w:r w:rsidR="00E079CE" w:rsidRPr="006D767A">
              <w:t xml:space="preserve"> </w:t>
            </w:r>
            <w:r>
              <w:t xml:space="preserve">are </w:t>
            </w:r>
            <w:r w:rsidRPr="006D767A">
              <w:t xml:space="preserve">to be made in line with </w:t>
            </w:r>
            <w:r>
              <w:t xml:space="preserve">the </w:t>
            </w:r>
            <w:r w:rsidR="00412C60">
              <w:t xml:space="preserve">Eligible </w:t>
            </w:r>
            <w:r>
              <w:t>S</w:t>
            </w:r>
            <w:r w:rsidRPr="006D767A">
              <w:t xml:space="preserve">tudent’s budgets subject to reasonable budget computation and terms above. All </w:t>
            </w:r>
            <w:r>
              <w:t>tuition</w:t>
            </w:r>
            <w:r w:rsidRPr="006D767A">
              <w:t xml:space="preserve"> fees and lodging should be paid against invoices, directly to the institution</w:t>
            </w:r>
            <w:r>
              <w:t xml:space="preserve"> or landlord</w:t>
            </w:r>
            <w:r w:rsidRPr="006D767A">
              <w:t xml:space="preserve">. Other </w:t>
            </w:r>
            <w:r w:rsidR="00E079CE">
              <w:t>drawdowns</w:t>
            </w:r>
            <w:r w:rsidR="00E079CE" w:rsidRPr="006D767A">
              <w:t xml:space="preserve"> </w:t>
            </w:r>
            <w:r w:rsidRPr="006D767A">
              <w:t>will not require evidence but will be allowed to the credit of the student</w:t>
            </w:r>
            <w:r>
              <w:t>’s</w:t>
            </w:r>
            <w:r w:rsidRPr="006D767A">
              <w:t xml:space="preserve"> account, against budgets.</w:t>
            </w:r>
          </w:p>
          <w:p w14:paraId="7A75225A" w14:textId="324D1836" w:rsidR="00391091" w:rsidRPr="006D767A" w:rsidRDefault="00391091" w:rsidP="00CC000A">
            <w:pPr>
              <w:spacing w:before="120" w:after="120"/>
              <w:jc w:val="both"/>
            </w:pPr>
            <w:r w:rsidRPr="006D767A">
              <w:t xml:space="preserve">For ease of guidelines all </w:t>
            </w:r>
            <w:r w:rsidR="00E079CE">
              <w:t>drawdowns</w:t>
            </w:r>
            <w:r w:rsidR="00E079CE" w:rsidRPr="006D767A">
              <w:t xml:space="preserve"> </w:t>
            </w:r>
            <w:r w:rsidRPr="006D767A">
              <w:t>against the loan are to be made in line with the cost payments exigencies (e</w:t>
            </w:r>
            <w:r>
              <w:t>.</w:t>
            </w:r>
            <w:r w:rsidRPr="006D767A">
              <w:t xml:space="preserve">g. </w:t>
            </w:r>
            <w:r>
              <w:t>i</w:t>
            </w:r>
            <w:r w:rsidRPr="006D767A">
              <w:t xml:space="preserve">f the full course fees need to be covered in the first semester or before the start date of the course, the </w:t>
            </w:r>
            <w:r w:rsidR="00B55467">
              <w:t>Financial Institution/s</w:t>
            </w:r>
            <w:r w:rsidR="00B55467" w:rsidRPr="006D767A">
              <w:t xml:space="preserve"> </w:t>
            </w:r>
            <w:r w:rsidRPr="006D767A">
              <w:t>will allow such payments)</w:t>
            </w:r>
            <w:r>
              <w:t>.</w:t>
            </w:r>
          </w:p>
        </w:tc>
      </w:tr>
      <w:tr w:rsidR="00391091" w:rsidRPr="006D767A" w14:paraId="1973B0BE" w14:textId="77777777" w:rsidTr="002F7F31">
        <w:tc>
          <w:tcPr>
            <w:tcW w:w="2547" w:type="dxa"/>
          </w:tcPr>
          <w:p w14:paraId="5F00560B" w14:textId="77777777" w:rsidR="00391091" w:rsidRPr="00FE76CC" w:rsidRDefault="00391091" w:rsidP="00CC000A">
            <w:pPr>
              <w:spacing w:before="120" w:after="120"/>
              <w:rPr>
                <w:b/>
              </w:rPr>
            </w:pPr>
            <w:r w:rsidRPr="00FE76CC">
              <w:rPr>
                <w:b/>
              </w:rPr>
              <w:t>Latest Loan Maturity date</w:t>
            </w:r>
          </w:p>
        </w:tc>
        <w:tc>
          <w:tcPr>
            <w:tcW w:w="6469" w:type="dxa"/>
          </w:tcPr>
          <w:p w14:paraId="2AF1CDDF" w14:textId="19B2AD31" w:rsidR="00391091" w:rsidRPr="006D767A" w:rsidRDefault="00391091" w:rsidP="00CC000A">
            <w:pPr>
              <w:spacing w:before="120" w:after="120"/>
              <w:jc w:val="both"/>
            </w:pPr>
            <w:r w:rsidRPr="006D767A">
              <w:t xml:space="preserve">Means the latest day on which Eligible </w:t>
            </w:r>
            <w:r>
              <w:t>L</w:t>
            </w:r>
            <w:r w:rsidRPr="006D767A">
              <w:t>oan(s) included in the Portfolio are scheduled to be repaid by the</w:t>
            </w:r>
            <w:r>
              <w:t xml:space="preserve"> </w:t>
            </w:r>
            <w:r w:rsidR="00412C60">
              <w:t xml:space="preserve">Eligible </w:t>
            </w:r>
            <w:r>
              <w:t>S</w:t>
            </w:r>
            <w:r w:rsidRPr="006D767A">
              <w:t>tudent in accordance with the original scheduled repayment provisions of the documentation governing such Eligible Loan agreements.</w:t>
            </w:r>
          </w:p>
        </w:tc>
      </w:tr>
      <w:tr w:rsidR="009856D3" w:rsidRPr="006D767A" w14:paraId="6E04C20A" w14:textId="77777777" w:rsidTr="002F7F31">
        <w:tc>
          <w:tcPr>
            <w:tcW w:w="2547" w:type="dxa"/>
          </w:tcPr>
          <w:p w14:paraId="43D60B1B" w14:textId="19B96391" w:rsidR="009856D3" w:rsidRPr="00FE76CC" w:rsidRDefault="009856D3" w:rsidP="00CC000A">
            <w:pPr>
              <w:spacing w:before="120" w:after="120"/>
              <w:rPr>
                <w:b/>
              </w:rPr>
            </w:pPr>
            <w:r w:rsidRPr="00FE76CC">
              <w:rPr>
                <w:b/>
              </w:rPr>
              <w:t>Portfolio Trigger Event</w:t>
            </w:r>
          </w:p>
        </w:tc>
        <w:tc>
          <w:tcPr>
            <w:tcW w:w="6469" w:type="dxa"/>
          </w:tcPr>
          <w:p w14:paraId="0574D464" w14:textId="68956D71" w:rsidR="009856D3" w:rsidRPr="006D767A" w:rsidRDefault="009856D3" w:rsidP="00CC000A">
            <w:pPr>
              <w:spacing w:before="120" w:after="120"/>
              <w:jc w:val="both"/>
            </w:pPr>
            <w:r w:rsidRPr="00CC5574">
              <w:rPr>
                <w:rStyle w:val="SubtleEmphasis"/>
                <w:rFonts w:cstheme="minorHAnsi"/>
                <w:i w:val="0"/>
                <w:iCs w:val="0"/>
                <w:color w:val="auto"/>
              </w:rPr>
              <w:t xml:space="preserve">If the Financial Institution has not reached a minimum of 10% of the </w:t>
            </w:r>
            <w:r w:rsidRPr="00CC5574">
              <w:rPr>
                <w:rStyle w:val="SubtleEmphasis"/>
                <w:rFonts w:cstheme="minorHAnsi"/>
                <w:i w:val="0"/>
                <w:iCs w:val="0"/>
                <w:color w:val="auto"/>
                <w:u w:val="single"/>
              </w:rPr>
              <w:t>volume of Eligible Student Transactions</w:t>
            </w:r>
            <w:r w:rsidRPr="00CC5574">
              <w:rPr>
                <w:rStyle w:val="SubtleEmphasis"/>
                <w:rFonts w:cstheme="minorHAnsi"/>
                <w:i w:val="0"/>
                <w:iCs w:val="0"/>
                <w:color w:val="auto"/>
              </w:rPr>
              <w:t xml:space="preserve"> (based on commitments) by the </w:t>
            </w:r>
            <w:r w:rsidR="00A804B3" w:rsidRPr="003F0528">
              <w:rPr>
                <w:rStyle w:val="SubtleEmphasis"/>
                <w:rFonts w:cstheme="minorHAnsi"/>
                <w:i w:val="0"/>
                <w:iCs w:val="0"/>
                <w:color w:val="auto"/>
              </w:rPr>
              <w:t>f</w:t>
            </w:r>
            <w:r w:rsidR="00A804B3" w:rsidRPr="003F0528">
              <w:rPr>
                <w:rStyle w:val="SubtleEmphasis"/>
                <w:rFonts w:cstheme="minorHAnsi"/>
                <w:i w:val="0"/>
              </w:rPr>
              <w:t>ifteenth (</w:t>
            </w:r>
            <w:r w:rsidRPr="00CC5574">
              <w:rPr>
                <w:rStyle w:val="SubtleEmphasis"/>
                <w:rFonts w:cstheme="minorHAnsi"/>
                <w:i w:val="0"/>
                <w:iCs w:val="0"/>
                <w:color w:val="auto"/>
              </w:rPr>
              <w:t>15</w:t>
            </w:r>
            <w:r w:rsidRPr="00CC5574">
              <w:rPr>
                <w:rStyle w:val="SubtleEmphasis"/>
                <w:rFonts w:cstheme="minorHAnsi"/>
                <w:i w:val="0"/>
                <w:iCs w:val="0"/>
                <w:color w:val="auto"/>
                <w:vertAlign w:val="superscript"/>
              </w:rPr>
              <w:t>th</w:t>
            </w:r>
            <w:r w:rsidR="003F0528">
              <w:rPr>
                <w:rStyle w:val="SubtleEmphasis"/>
                <w:rFonts w:cstheme="minorHAnsi"/>
                <w:i w:val="0"/>
                <w:iCs w:val="0"/>
                <w:color w:val="auto"/>
              </w:rPr>
              <w:t>)</w:t>
            </w:r>
            <w:r w:rsidR="00CB5A83">
              <w:rPr>
                <w:rStyle w:val="SubtleEmphasis"/>
                <w:rFonts w:cstheme="minorHAnsi"/>
                <w:i w:val="0"/>
                <w:iCs w:val="0"/>
                <w:color w:val="auto"/>
              </w:rPr>
              <w:t xml:space="preserve"> </w:t>
            </w:r>
            <w:r w:rsidRPr="00CC5574">
              <w:rPr>
                <w:rStyle w:val="SubtleEmphasis"/>
                <w:rFonts w:cstheme="minorHAnsi"/>
                <w:i w:val="0"/>
                <w:iCs w:val="0"/>
                <w:color w:val="auto"/>
              </w:rPr>
              <w:t>month from signing of the Operational Agreement, MDB will consider the situation and may send a notice to the Financial Institution to early terminate the Availability Period on the date set out in such a notice.</w:t>
            </w:r>
          </w:p>
        </w:tc>
      </w:tr>
      <w:tr w:rsidR="00391091" w:rsidRPr="006D767A" w14:paraId="33456D60" w14:textId="77777777" w:rsidTr="002F7F31">
        <w:tc>
          <w:tcPr>
            <w:tcW w:w="2547" w:type="dxa"/>
          </w:tcPr>
          <w:p w14:paraId="06501C81" w14:textId="77777777" w:rsidR="00391091" w:rsidRPr="00FE76CC" w:rsidRDefault="00391091" w:rsidP="00CC000A">
            <w:pPr>
              <w:spacing w:before="120" w:after="120"/>
              <w:rPr>
                <w:b/>
              </w:rPr>
            </w:pPr>
            <w:r w:rsidRPr="00FE76CC">
              <w:rPr>
                <w:b/>
              </w:rPr>
              <w:t>Other terms and conditions (if applicable)</w:t>
            </w:r>
          </w:p>
        </w:tc>
        <w:tc>
          <w:tcPr>
            <w:tcW w:w="6469" w:type="dxa"/>
          </w:tcPr>
          <w:p w14:paraId="4A622C2C" w14:textId="4FE1374A" w:rsidR="00391091" w:rsidRPr="006D767A" w:rsidRDefault="00391091" w:rsidP="00CC000A">
            <w:pPr>
              <w:spacing w:before="120" w:after="120"/>
              <w:jc w:val="both"/>
            </w:pPr>
            <w:r w:rsidRPr="006D767A">
              <w:t xml:space="preserve">Other terms and conditions for the Eligible Loans originated under the </w:t>
            </w:r>
            <w:r w:rsidR="00375489">
              <w:t xml:space="preserve">FI </w:t>
            </w:r>
            <w:r w:rsidRPr="006D767A">
              <w:t xml:space="preserve">should be applied by the Financial Institution in accordance with the policies submitted under the </w:t>
            </w:r>
            <w:r w:rsidR="00C36002">
              <w:t>Call for Service</w:t>
            </w:r>
            <w:r w:rsidRPr="006D767A">
              <w:t>.</w:t>
            </w:r>
          </w:p>
        </w:tc>
      </w:tr>
      <w:tr w:rsidR="00391091" w:rsidRPr="006D767A" w14:paraId="574E03E8" w14:textId="77777777" w:rsidTr="002F7F31">
        <w:tc>
          <w:tcPr>
            <w:tcW w:w="2547" w:type="dxa"/>
          </w:tcPr>
          <w:p w14:paraId="0981CA1B" w14:textId="0603DE5D" w:rsidR="00391091" w:rsidRPr="00FE76CC" w:rsidRDefault="00B55467" w:rsidP="00CC000A">
            <w:pPr>
              <w:spacing w:before="120" w:after="120"/>
              <w:jc w:val="both"/>
              <w:rPr>
                <w:b/>
              </w:rPr>
            </w:pPr>
            <w:r>
              <w:rPr>
                <w:b/>
              </w:rPr>
              <w:t>Collateral Requirements</w:t>
            </w:r>
          </w:p>
        </w:tc>
        <w:tc>
          <w:tcPr>
            <w:tcW w:w="6469" w:type="dxa"/>
          </w:tcPr>
          <w:p w14:paraId="2F4DD0BF" w14:textId="11BDDE9A" w:rsidR="00391091" w:rsidRPr="003D6EEC" w:rsidRDefault="003D6EEC" w:rsidP="00CC000A">
            <w:pPr>
              <w:spacing w:before="120" w:after="120"/>
              <w:jc w:val="both"/>
            </w:pPr>
            <w:r>
              <w:t xml:space="preserve">No additional </w:t>
            </w:r>
            <w:r w:rsidR="00B55467">
              <w:t xml:space="preserve">collateral </w:t>
            </w:r>
            <w:r>
              <w:t>is to be requested from the Eligible Student in support of the Eligible loan.</w:t>
            </w:r>
          </w:p>
        </w:tc>
      </w:tr>
      <w:tr w:rsidR="00391091" w:rsidRPr="006D767A" w14:paraId="3621D326" w14:textId="77777777" w:rsidTr="002F7F31">
        <w:tc>
          <w:tcPr>
            <w:tcW w:w="2547" w:type="dxa"/>
          </w:tcPr>
          <w:p w14:paraId="66F8B0EC" w14:textId="77777777" w:rsidR="00391091" w:rsidRPr="00FE76CC" w:rsidRDefault="00391091" w:rsidP="00CC000A">
            <w:pPr>
              <w:spacing w:before="120" w:after="120"/>
              <w:rPr>
                <w:b/>
              </w:rPr>
            </w:pPr>
            <w:r w:rsidRPr="00FE76CC">
              <w:rPr>
                <w:b/>
              </w:rPr>
              <w:t>Default definition (applicable to Eligible Loans)</w:t>
            </w:r>
          </w:p>
        </w:tc>
        <w:tc>
          <w:tcPr>
            <w:tcW w:w="6469" w:type="dxa"/>
          </w:tcPr>
          <w:p w14:paraId="6DA83F2C" w14:textId="41D23E7B" w:rsidR="00391091" w:rsidRPr="006D767A" w:rsidRDefault="003B2250" w:rsidP="00CC000A">
            <w:pPr>
              <w:spacing w:before="120" w:after="120"/>
              <w:jc w:val="both"/>
            </w:pPr>
            <w:r>
              <w:t>The a</w:t>
            </w:r>
            <w:r w:rsidR="00391091" w:rsidRPr="006D767A">
              <w:t xml:space="preserve">pplicable default definition </w:t>
            </w:r>
            <w:r w:rsidR="00D113FB">
              <w:t xml:space="preserve">is </w:t>
            </w:r>
            <w:r w:rsidR="00391091" w:rsidRPr="006D767A">
              <w:t xml:space="preserve">in line with </w:t>
            </w:r>
            <w:r w:rsidR="003E1D78">
              <w:t>the Ca</w:t>
            </w:r>
            <w:r w:rsidR="00745524">
              <w:t>pital Requirement Regulations</w:t>
            </w:r>
            <w:r w:rsidR="00391091" w:rsidRPr="006D767A">
              <w:t>. This means that</w:t>
            </w:r>
            <w:r>
              <w:t xml:space="preserve"> a default occurs</w:t>
            </w:r>
            <w:r w:rsidR="00F01358">
              <w:t xml:space="preserve"> when:</w:t>
            </w:r>
          </w:p>
          <w:p w14:paraId="6A8C7B56" w14:textId="7FC4F404" w:rsidR="00391091" w:rsidRPr="006D767A" w:rsidRDefault="00F01358" w:rsidP="00D90932">
            <w:pPr>
              <w:pStyle w:val="ListParagraph"/>
              <w:numPr>
                <w:ilvl w:val="0"/>
                <w:numId w:val="18"/>
              </w:numPr>
              <w:spacing w:before="120" w:after="120"/>
              <w:contextualSpacing w:val="0"/>
              <w:jc w:val="both"/>
            </w:pPr>
            <w:r>
              <w:t>T</w:t>
            </w:r>
            <w:r w:rsidR="00391091" w:rsidRPr="006D767A">
              <w:t>he Financial Institution considers at any time (acting reasonably in accordance with its internal procedures) that the</w:t>
            </w:r>
            <w:r w:rsidR="00391091">
              <w:t xml:space="preserve"> </w:t>
            </w:r>
            <w:r w:rsidR="00412C60">
              <w:t xml:space="preserve">Eligible </w:t>
            </w:r>
            <w:r w:rsidR="00391091" w:rsidRPr="006D767A">
              <w:t>Student will be unlikely to meet its payment obligations under such loan transaction</w:t>
            </w:r>
            <w:r w:rsidR="00391091">
              <w:t>,</w:t>
            </w:r>
            <w:r w:rsidR="00391091" w:rsidRPr="006D767A">
              <w:t xml:space="preserve"> </w:t>
            </w:r>
            <w:r w:rsidR="00391091" w:rsidRPr="00E832DC">
              <w:rPr>
                <w:b/>
              </w:rPr>
              <w:t>or</w:t>
            </w:r>
          </w:p>
          <w:p w14:paraId="2A6471ED" w14:textId="089F2673" w:rsidR="00391091" w:rsidRPr="006D767A" w:rsidRDefault="00391091" w:rsidP="00D90932">
            <w:pPr>
              <w:pStyle w:val="ListParagraph"/>
              <w:numPr>
                <w:ilvl w:val="0"/>
                <w:numId w:val="18"/>
              </w:numPr>
              <w:spacing w:before="120" w:after="120"/>
              <w:contextualSpacing w:val="0"/>
              <w:jc w:val="both"/>
            </w:pPr>
            <w:r w:rsidRPr="006D767A">
              <w:t xml:space="preserve">The </w:t>
            </w:r>
            <w:r w:rsidR="00412C60">
              <w:t xml:space="preserve">Eligible </w:t>
            </w:r>
            <w:r w:rsidRPr="006D767A">
              <w:t>Student has failed to meet any payment obligation under the relevant loan which has continued for at least 90 consecutive calendar days.</w:t>
            </w:r>
          </w:p>
          <w:p w14:paraId="6A736936" w14:textId="05B3417C" w:rsidR="00391091" w:rsidRPr="006D767A" w:rsidRDefault="00391091" w:rsidP="00CC000A">
            <w:pPr>
              <w:spacing w:before="120" w:after="120"/>
              <w:jc w:val="both"/>
            </w:pPr>
            <w:r w:rsidRPr="006D767A">
              <w:t>To cure a Transaction</w:t>
            </w:r>
            <w:r w:rsidR="00B55467">
              <w:t xml:space="preserve"> in Default as defined under point (i) and (ii) above,</w:t>
            </w:r>
            <w:r w:rsidRPr="006D767A">
              <w:t xml:space="preserve"> the terms of the </w:t>
            </w:r>
            <w:r w:rsidR="00B55467">
              <w:t xml:space="preserve">Eligible Loan </w:t>
            </w:r>
            <w:r w:rsidRPr="006D767A">
              <w:t>may be amended.</w:t>
            </w:r>
          </w:p>
          <w:p w14:paraId="31232FD4" w14:textId="2BE2D241" w:rsidR="00391091" w:rsidRPr="006D767A" w:rsidRDefault="00391091" w:rsidP="00D90932">
            <w:pPr>
              <w:pStyle w:val="ListParagraph"/>
              <w:numPr>
                <w:ilvl w:val="0"/>
                <w:numId w:val="18"/>
              </w:numPr>
              <w:spacing w:before="120" w:after="120"/>
              <w:contextualSpacing w:val="0"/>
              <w:jc w:val="both"/>
            </w:pPr>
            <w:r w:rsidRPr="006D767A">
              <w:t xml:space="preserve">The total permanent disability of the </w:t>
            </w:r>
            <w:r w:rsidR="00412C60">
              <w:t xml:space="preserve">Eligible </w:t>
            </w:r>
            <w:r w:rsidRPr="006D767A">
              <w:t xml:space="preserve">Student (unless </w:t>
            </w:r>
            <w:r>
              <w:t>there is</w:t>
            </w:r>
            <w:r w:rsidRPr="006D767A">
              <w:t xml:space="preserve"> a life cover and the repayments can be met from this source).</w:t>
            </w:r>
          </w:p>
          <w:p w14:paraId="2DEE9DA0" w14:textId="2DE0CDCA" w:rsidR="00391091" w:rsidRPr="006D767A" w:rsidRDefault="00391091" w:rsidP="00D90932">
            <w:pPr>
              <w:pStyle w:val="ListParagraph"/>
              <w:numPr>
                <w:ilvl w:val="0"/>
                <w:numId w:val="18"/>
              </w:numPr>
              <w:spacing w:before="120" w:after="120"/>
              <w:contextualSpacing w:val="0"/>
              <w:jc w:val="both"/>
            </w:pPr>
            <w:r w:rsidRPr="006D767A">
              <w:t xml:space="preserve">The death of the </w:t>
            </w:r>
            <w:r w:rsidR="00412C60">
              <w:t xml:space="preserve">Eligible </w:t>
            </w:r>
            <w:r>
              <w:t>S</w:t>
            </w:r>
            <w:r w:rsidRPr="006D767A">
              <w:t>tudent (unless there is a life cover and in such cases the loan liabilities should be paid through the life cover held).</w:t>
            </w:r>
          </w:p>
        </w:tc>
      </w:tr>
      <w:tr w:rsidR="00391091" w:rsidRPr="006D767A" w14:paraId="5CFF79DC" w14:textId="77777777" w:rsidTr="002F7F31">
        <w:tc>
          <w:tcPr>
            <w:tcW w:w="2547" w:type="dxa"/>
          </w:tcPr>
          <w:p w14:paraId="4AAE3258" w14:textId="77777777" w:rsidR="00391091" w:rsidRPr="00FE76CC" w:rsidRDefault="00391091" w:rsidP="00CC000A">
            <w:pPr>
              <w:spacing w:before="120" w:after="120"/>
              <w:jc w:val="both"/>
              <w:rPr>
                <w:b/>
              </w:rPr>
            </w:pPr>
            <w:r w:rsidRPr="00FE76CC">
              <w:rPr>
                <w:b/>
              </w:rPr>
              <w:t>Loan Restructuring</w:t>
            </w:r>
          </w:p>
        </w:tc>
        <w:tc>
          <w:tcPr>
            <w:tcW w:w="6469" w:type="dxa"/>
          </w:tcPr>
          <w:p w14:paraId="17CE3622" w14:textId="78F3DB08" w:rsidR="00391091" w:rsidRPr="006D767A" w:rsidRDefault="00391091" w:rsidP="00CC000A">
            <w:pPr>
              <w:spacing w:before="120" w:after="120"/>
              <w:jc w:val="both"/>
            </w:pPr>
            <w:r w:rsidRPr="006D767A">
              <w:t>The Financial Institution may agree as it deem</w:t>
            </w:r>
            <w:r>
              <w:t>s</w:t>
            </w:r>
            <w:r w:rsidRPr="006D767A">
              <w:t xml:space="preserve"> fit under its rules and regulations, and if it is a means to eliminate or reduce default, to the restructuring of a</w:t>
            </w:r>
            <w:r>
              <w:t>n Eligible</w:t>
            </w:r>
            <w:r w:rsidRPr="006D767A">
              <w:t xml:space="preserve"> </w:t>
            </w:r>
            <w:r>
              <w:t>L</w:t>
            </w:r>
            <w:r w:rsidRPr="006D767A">
              <w:t xml:space="preserve">oan, such that the amount of principal scheduled to be paid, and /or any interest amount due, by the </w:t>
            </w:r>
            <w:r w:rsidR="00412C60">
              <w:t xml:space="preserve">Eligible </w:t>
            </w:r>
            <w:r>
              <w:t>S</w:t>
            </w:r>
            <w:r w:rsidRPr="006D767A">
              <w:t>tudent is reduced, in order to improve the collectability of the claims arising from the relevant transaction.</w:t>
            </w:r>
          </w:p>
        </w:tc>
      </w:tr>
      <w:tr w:rsidR="00391091" w:rsidRPr="006D767A" w14:paraId="69A6D557" w14:textId="77777777" w:rsidTr="002F7F31">
        <w:tc>
          <w:tcPr>
            <w:tcW w:w="2547" w:type="dxa"/>
          </w:tcPr>
          <w:p w14:paraId="4FF2E003" w14:textId="77777777" w:rsidR="00391091" w:rsidRPr="00FE76CC" w:rsidRDefault="00391091" w:rsidP="00CC000A">
            <w:pPr>
              <w:spacing w:before="120" w:after="120"/>
              <w:rPr>
                <w:b/>
              </w:rPr>
            </w:pPr>
            <w:r w:rsidRPr="00FE76CC">
              <w:rPr>
                <w:b/>
              </w:rPr>
              <w:t>Servicing and Recoveries</w:t>
            </w:r>
          </w:p>
        </w:tc>
        <w:tc>
          <w:tcPr>
            <w:tcW w:w="6469" w:type="dxa"/>
          </w:tcPr>
          <w:p w14:paraId="3388ACEE" w14:textId="77777777" w:rsidR="00391091" w:rsidRPr="006D767A" w:rsidRDefault="00391091" w:rsidP="00CC000A">
            <w:pPr>
              <w:spacing w:before="120" w:after="120"/>
              <w:jc w:val="both"/>
            </w:pPr>
            <w:r w:rsidRPr="006D767A">
              <w:t>The Financial Institution shall perform the servicing of the Portfolio including monitoring and recovering actions.</w:t>
            </w:r>
          </w:p>
          <w:p w14:paraId="5F6209BD" w14:textId="77777777" w:rsidR="00391091" w:rsidRPr="006D767A" w:rsidRDefault="00391091" w:rsidP="00CC000A">
            <w:pPr>
              <w:spacing w:before="120" w:after="120"/>
              <w:jc w:val="both"/>
            </w:pPr>
            <w:r w:rsidRPr="006D767A">
              <w:t xml:space="preserve">Recoveries net of recovery costs (if any) are shared pro-rata between </w:t>
            </w:r>
            <w:r>
              <w:t xml:space="preserve">the </w:t>
            </w:r>
            <w:r w:rsidRPr="006D767A">
              <w:t>MDB and the Financial Institution according to the Guarantee Rate.</w:t>
            </w:r>
          </w:p>
          <w:p w14:paraId="153D3F01" w14:textId="77777777" w:rsidR="00391091" w:rsidRPr="006D767A" w:rsidRDefault="00391091" w:rsidP="00CC000A">
            <w:pPr>
              <w:spacing w:before="120" w:after="120"/>
              <w:jc w:val="both"/>
            </w:pPr>
            <w:r w:rsidRPr="006D767A">
              <w:t xml:space="preserve">In case of </w:t>
            </w:r>
            <w:r>
              <w:t>D</w:t>
            </w:r>
            <w:r w:rsidRPr="006D767A">
              <w:t>efault</w:t>
            </w:r>
            <w:r>
              <w:t>,</w:t>
            </w:r>
            <w:r w:rsidRPr="006D767A">
              <w:t xml:space="preserve"> the Financial Institution is obliged to safeguard its position and that of the MDB and shall take the necessary precautions and procedures in line with its internal default recovery guidelines.</w:t>
            </w:r>
          </w:p>
        </w:tc>
      </w:tr>
      <w:tr w:rsidR="00391091" w:rsidRPr="006D767A" w14:paraId="19A6561B" w14:textId="77777777" w:rsidTr="002F7F31">
        <w:tc>
          <w:tcPr>
            <w:tcW w:w="2547" w:type="dxa"/>
          </w:tcPr>
          <w:p w14:paraId="40534B7D" w14:textId="77777777" w:rsidR="00391091" w:rsidRPr="00FE76CC" w:rsidRDefault="00391091" w:rsidP="00CC000A">
            <w:pPr>
              <w:spacing w:before="120" w:after="120"/>
              <w:jc w:val="both"/>
              <w:rPr>
                <w:b/>
              </w:rPr>
            </w:pPr>
            <w:r w:rsidRPr="00FE76CC">
              <w:rPr>
                <w:b/>
              </w:rPr>
              <w:t>Guarantee Payment</w:t>
            </w:r>
          </w:p>
        </w:tc>
        <w:tc>
          <w:tcPr>
            <w:tcW w:w="6469" w:type="dxa"/>
          </w:tcPr>
          <w:p w14:paraId="5683CEEE" w14:textId="18A3D4CF" w:rsidR="00391091" w:rsidRPr="006D767A" w:rsidRDefault="00391091" w:rsidP="00CC000A">
            <w:pPr>
              <w:spacing w:before="120" w:after="120"/>
              <w:jc w:val="both"/>
            </w:pPr>
            <w:r w:rsidRPr="006D767A">
              <w:t xml:space="preserve">Following a Default under an Eligible Loan complying with the provisions of the Operational Agreement and subject to receiving a valid guarantee call from the </w:t>
            </w:r>
            <w:r>
              <w:t xml:space="preserve">Financial </w:t>
            </w:r>
            <w:r w:rsidRPr="006D767A">
              <w:t xml:space="preserve">Institution with respect to such Eligible Loan, </w:t>
            </w:r>
            <w:r>
              <w:t xml:space="preserve">the </w:t>
            </w:r>
            <w:r w:rsidRPr="006D767A">
              <w:t xml:space="preserve">MDB shall make guarantee payments under the Financial Instrument within </w:t>
            </w:r>
            <w:r w:rsidR="00B55467">
              <w:t>ninety (</w:t>
            </w:r>
            <w:r w:rsidRPr="006D767A">
              <w:t>90</w:t>
            </w:r>
            <w:r w:rsidR="00B55467">
              <w:t>)</w:t>
            </w:r>
            <w:r w:rsidRPr="006D767A">
              <w:t xml:space="preserve"> </w:t>
            </w:r>
            <w:r>
              <w:t xml:space="preserve">calendar </w:t>
            </w:r>
            <w:r w:rsidRPr="006D767A">
              <w:t>days following receipt of such guarantee call.</w:t>
            </w:r>
          </w:p>
        </w:tc>
      </w:tr>
      <w:tr w:rsidR="00391091" w:rsidRPr="006D767A" w14:paraId="1DBE9BC0" w14:textId="77777777" w:rsidTr="002F7F31">
        <w:tc>
          <w:tcPr>
            <w:tcW w:w="2547" w:type="dxa"/>
          </w:tcPr>
          <w:p w14:paraId="1D4214E4" w14:textId="77777777" w:rsidR="00391091" w:rsidRPr="00FE76CC" w:rsidRDefault="00391091" w:rsidP="00CC000A">
            <w:pPr>
              <w:spacing w:before="120" w:after="120"/>
              <w:rPr>
                <w:b/>
              </w:rPr>
            </w:pPr>
            <w:r w:rsidRPr="00FE76CC">
              <w:rPr>
                <w:b/>
              </w:rPr>
              <w:t>Guarantee Fee</w:t>
            </w:r>
          </w:p>
        </w:tc>
        <w:tc>
          <w:tcPr>
            <w:tcW w:w="6469" w:type="dxa"/>
          </w:tcPr>
          <w:p w14:paraId="0B282275" w14:textId="77777777" w:rsidR="00391091" w:rsidRPr="006D767A" w:rsidRDefault="00391091" w:rsidP="00CC000A">
            <w:pPr>
              <w:spacing w:before="120" w:after="120"/>
              <w:jc w:val="both"/>
              <w:rPr>
                <w:color w:val="FF0000"/>
              </w:rPr>
            </w:pPr>
            <w:r w:rsidRPr="006D767A">
              <w:t xml:space="preserve">No Guarantee fee will be paid to </w:t>
            </w:r>
            <w:r>
              <w:t xml:space="preserve">the </w:t>
            </w:r>
            <w:r w:rsidRPr="006D767A">
              <w:t>MDB on the guarantee amount.</w:t>
            </w:r>
          </w:p>
        </w:tc>
      </w:tr>
      <w:tr w:rsidR="00391091" w:rsidRPr="006D767A" w14:paraId="4F4D422C" w14:textId="77777777" w:rsidTr="002F7F31">
        <w:tc>
          <w:tcPr>
            <w:tcW w:w="2547" w:type="dxa"/>
          </w:tcPr>
          <w:p w14:paraId="3469E5E6" w14:textId="77777777" w:rsidR="00391091" w:rsidRPr="00FE76CC" w:rsidRDefault="00391091" w:rsidP="00CC000A">
            <w:pPr>
              <w:spacing w:before="120" w:after="120"/>
              <w:jc w:val="both"/>
              <w:rPr>
                <w:b/>
              </w:rPr>
            </w:pPr>
            <w:r w:rsidRPr="00FE76CC">
              <w:rPr>
                <w:b/>
              </w:rPr>
              <w:t>Reutilisation</w:t>
            </w:r>
          </w:p>
        </w:tc>
        <w:tc>
          <w:tcPr>
            <w:tcW w:w="6469" w:type="dxa"/>
          </w:tcPr>
          <w:p w14:paraId="5A858507" w14:textId="2403D309" w:rsidR="00391091" w:rsidRPr="006D767A" w:rsidRDefault="00391091" w:rsidP="00CC000A">
            <w:pPr>
              <w:spacing w:before="120" w:after="120"/>
              <w:jc w:val="both"/>
            </w:pPr>
            <w:r w:rsidRPr="006D767A">
              <w:t>Amount made available upon repayment</w:t>
            </w:r>
            <w:r w:rsidR="00B55467">
              <w:t xml:space="preserve"> </w:t>
            </w:r>
            <w:r w:rsidRPr="006D767A">
              <w:t>or part repayment of the Eligible Loans, can be made available</w:t>
            </w:r>
            <w:r w:rsidR="00B55467">
              <w:t xml:space="preserve"> again</w:t>
            </w:r>
            <w:r w:rsidRPr="006D767A">
              <w:t xml:space="preserve"> to </w:t>
            </w:r>
            <w:r w:rsidR="00412C60">
              <w:t xml:space="preserve">Eligible </w:t>
            </w:r>
            <w:r>
              <w:t>S</w:t>
            </w:r>
            <w:r w:rsidRPr="006D767A">
              <w:t>tudent’s subject to terms under ‘Availab</w:t>
            </w:r>
            <w:r>
              <w:t>i</w:t>
            </w:r>
            <w:r w:rsidRPr="006D767A">
              <w:t>l</w:t>
            </w:r>
            <w:r>
              <w:t>ity</w:t>
            </w:r>
            <w:r w:rsidRPr="006D767A">
              <w:t xml:space="preserve"> Period’.</w:t>
            </w:r>
          </w:p>
        </w:tc>
      </w:tr>
      <w:tr w:rsidR="00BE3528" w:rsidRPr="006D767A" w14:paraId="6D014E67" w14:textId="77777777" w:rsidTr="002F7F31">
        <w:tc>
          <w:tcPr>
            <w:tcW w:w="2547" w:type="dxa"/>
          </w:tcPr>
          <w:p w14:paraId="1C99B0AC" w14:textId="32FCB6A9" w:rsidR="00BE3528" w:rsidRPr="00FE76CC" w:rsidRDefault="00BE3528" w:rsidP="00CC000A">
            <w:pPr>
              <w:spacing w:before="120" w:after="120"/>
              <w:jc w:val="both"/>
              <w:rPr>
                <w:b/>
              </w:rPr>
            </w:pPr>
            <w:r w:rsidRPr="00FE76CC">
              <w:rPr>
                <w:b/>
              </w:rPr>
              <w:t xml:space="preserve">Cumulation </w:t>
            </w:r>
          </w:p>
        </w:tc>
        <w:tc>
          <w:tcPr>
            <w:tcW w:w="6469" w:type="dxa"/>
          </w:tcPr>
          <w:p w14:paraId="4F1B7FC3" w14:textId="5F76F9EB" w:rsidR="00BE3528" w:rsidRPr="006D767A" w:rsidRDefault="00BE3528" w:rsidP="00CC000A">
            <w:pPr>
              <w:spacing w:before="120" w:after="120"/>
              <w:jc w:val="both"/>
            </w:pPr>
            <w:r w:rsidRPr="006D767A">
              <w:t xml:space="preserve">For ease of clarification, an individual can take up the Eligible </w:t>
            </w:r>
            <w:r>
              <w:t>L</w:t>
            </w:r>
            <w:r w:rsidRPr="006D767A">
              <w:t xml:space="preserve">oan under this particular </w:t>
            </w:r>
            <w:r w:rsidR="00375489">
              <w:t xml:space="preserve">FI </w:t>
            </w:r>
            <w:r w:rsidRPr="006D767A">
              <w:t>only once and even if the Eligible</w:t>
            </w:r>
            <w:r>
              <w:t xml:space="preserve"> L</w:t>
            </w:r>
            <w:r w:rsidRPr="006D767A">
              <w:t xml:space="preserve">oan is repaid the same </w:t>
            </w:r>
            <w:r>
              <w:t>Eligible S</w:t>
            </w:r>
            <w:r w:rsidRPr="006D767A">
              <w:t xml:space="preserve">tudent cannot reapply for another </w:t>
            </w:r>
            <w:r>
              <w:t>L</w:t>
            </w:r>
            <w:r w:rsidRPr="006D767A">
              <w:t>oan under the same manner</w:t>
            </w:r>
            <w:r>
              <w:t>, unless the Eligible Student applies for a loan for a different study course or for multiple levels of qualifications, subject to the maximum amount of Eligible Loan as per section ‘</w:t>
            </w:r>
            <w:r w:rsidRPr="006D767A">
              <w:t xml:space="preserve">Size and drawings of Eligible </w:t>
            </w:r>
            <w:r>
              <w:t>L</w:t>
            </w:r>
            <w:r w:rsidRPr="006D767A">
              <w:t>oans</w:t>
            </w:r>
            <w:r>
              <w:t>’. Notwithstanding, the maximum term</w:t>
            </w:r>
            <w:r w:rsidR="005C4541">
              <w:t xml:space="preserve"> of the loans </w:t>
            </w:r>
            <w:r>
              <w:t xml:space="preserve">remains </w:t>
            </w:r>
            <w:r w:rsidR="00B55467">
              <w:t>fifteen (</w:t>
            </w:r>
            <w:r w:rsidR="005C4541" w:rsidRPr="005C4541">
              <w:t>15</w:t>
            </w:r>
            <w:r w:rsidR="00B55467">
              <w:t>)</w:t>
            </w:r>
            <w:r w:rsidR="005C4541" w:rsidRPr="005C4541">
              <w:t xml:space="preserve"> years</w:t>
            </w:r>
            <w:r w:rsidR="00852108" w:rsidRPr="005C4541">
              <w:t xml:space="preserve"> </w:t>
            </w:r>
            <w:r w:rsidR="00B55467">
              <w:t xml:space="preserve">from </w:t>
            </w:r>
            <w:r w:rsidR="005E0ADB">
              <w:t xml:space="preserve">the first disbursement </w:t>
            </w:r>
            <w:r w:rsidR="005C4541">
              <w:t xml:space="preserve">by the Financial Institution under the first </w:t>
            </w:r>
            <w:r>
              <w:t>Eligible Loan</w:t>
            </w:r>
            <w:r w:rsidR="005C4541">
              <w:t xml:space="preserve"> made available to the Eligible Student.</w:t>
            </w:r>
          </w:p>
        </w:tc>
      </w:tr>
      <w:tr w:rsidR="00391091" w:rsidRPr="006D767A" w14:paraId="40F32735" w14:textId="77777777" w:rsidTr="002F7F31">
        <w:tc>
          <w:tcPr>
            <w:tcW w:w="2547" w:type="dxa"/>
          </w:tcPr>
          <w:p w14:paraId="61F069A6" w14:textId="77777777" w:rsidR="00391091" w:rsidRPr="00FE76CC" w:rsidRDefault="00391091" w:rsidP="00CC000A">
            <w:pPr>
              <w:spacing w:before="120" w:after="120"/>
              <w:jc w:val="both"/>
              <w:rPr>
                <w:b/>
              </w:rPr>
            </w:pPr>
            <w:r w:rsidRPr="00FE76CC">
              <w:rPr>
                <w:b/>
              </w:rPr>
              <w:t>Reporting</w:t>
            </w:r>
          </w:p>
        </w:tc>
        <w:tc>
          <w:tcPr>
            <w:tcW w:w="6469" w:type="dxa"/>
          </w:tcPr>
          <w:p w14:paraId="5F11F313" w14:textId="77777777" w:rsidR="00391091" w:rsidRPr="006D767A" w:rsidRDefault="00391091" w:rsidP="00CC000A">
            <w:pPr>
              <w:spacing w:before="120" w:after="120"/>
              <w:jc w:val="both"/>
            </w:pPr>
            <w:r>
              <w:t xml:space="preserve">The </w:t>
            </w:r>
            <w:r w:rsidRPr="006D767A">
              <w:t xml:space="preserve">Financial Institution shall provide </w:t>
            </w:r>
            <w:r>
              <w:t xml:space="preserve">the </w:t>
            </w:r>
            <w:r w:rsidRPr="006D767A">
              <w:t>MDB</w:t>
            </w:r>
            <w:r w:rsidRPr="006D767A">
              <w:rPr>
                <w:color w:val="FF0000"/>
              </w:rPr>
              <w:t xml:space="preserve"> </w:t>
            </w:r>
            <w:r w:rsidRPr="006D767A">
              <w:t>with quarterly information in a standardised form and scope</w:t>
            </w:r>
            <w:r>
              <w:t xml:space="preserve"> as</w:t>
            </w:r>
            <w:r w:rsidRPr="006D767A">
              <w:t xml:space="preserve"> defined by </w:t>
            </w:r>
            <w:r>
              <w:t xml:space="preserve">the </w:t>
            </w:r>
            <w:r w:rsidRPr="006D767A">
              <w:t>MDB.</w:t>
            </w:r>
          </w:p>
          <w:p w14:paraId="776018D7" w14:textId="40E39EBC" w:rsidR="00391091" w:rsidRDefault="00391091" w:rsidP="00CC000A">
            <w:pPr>
              <w:spacing w:before="120" w:after="120"/>
              <w:jc w:val="both"/>
            </w:pPr>
            <w:r w:rsidRPr="006D767A">
              <w:t>An indicative reporting template is provided along this Call for information.</w:t>
            </w:r>
            <w:r>
              <w:t xml:space="preserve"> The MDB is not bound to monitor or verify, and shall not be responsible for monitoring or verifying, the use of any amounts granted by the Financial Institution to the </w:t>
            </w:r>
            <w:r w:rsidR="00412C60">
              <w:t xml:space="preserve">Eligible </w:t>
            </w:r>
            <w:r>
              <w:t>Student, in each case, under the Eligible Loans.  Notwithstanding this, the MDB may, at any time, request information from the Financial Institution to enable the MDB to verify whether</w:t>
            </w:r>
            <w:r w:rsidR="00EA480F">
              <w:t xml:space="preserve"> </w:t>
            </w:r>
            <w:r>
              <w:t>a</w:t>
            </w:r>
            <w:r w:rsidR="00EA480F">
              <w:t>n</w:t>
            </w:r>
            <w:r>
              <w:t xml:space="preserve"> </w:t>
            </w:r>
            <w:r w:rsidR="00412C60">
              <w:t xml:space="preserve">Eligible </w:t>
            </w:r>
            <w:r>
              <w:t xml:space="preserve">Student Loan is an Eligible Loan and whether its inclusion in the Portfolio </w:t>
            </w:r>
            <w:proofErr w:type="gramStart"/>
            <w:r>
              <w:t>is in compliance with</w:t>
            </w:r>
            <w:proofErr w:type="gramEnd"/>
            <w:r>
              <w:t xml:space="preserve"> the terms of the Agreement.</w:t>
            </w:r>
            <w:r w:rsidRPr="006D767A">
              <w:t xml:space="preserve">  </w:t>
            </w:r>
          </w:p>
          <w:p w14:paraId="3CA5D542" w14:textId="0A0833A3" w:rsidR="00391091" w:rsidRPr="006D767A" w:rsidRDefault="00391091" w:rsidP="00CC000A">
            <w:pPr>
              <w:spacing w:before="120" w:after="120"/>
              <w:jc w:val="both"/>
              <w:rPr>
                <w:color w:val="FF0000"/>
              </w:rPr>
            </w:pPr>
            <w:r w:rsidRPr="006D767A">
              <w:t xml:space="preserve">In case of a claim against the guarantee, </w:t>
            </w:r>
            <w:r>
              <w:t xml:space="preserve">the </w:t>
            </w:r>
            <w:r w:rsidRPr="006D767A">
              <w:t xml:space="preserve">MDB has the right to request the Financial Institution to provide evidence showing procedures/attempts made to recover the default </w:t>
            </w:r>
            <w:r w:rsidR="00B55467">
              <w:t>amounts</w:t>
            </w:r>
            <w:r w:rsidRPr="006D767A">
              <w:t>.</w:t>
            </w:r>
          </w:p>
        </w:tc>
      </w:tr>
      <w:tr w:rsidR="00391091" w:rsidRPr="006D767A" w14:paraId="38DC3E04" w14:textId="77777777" w:rsidTr="002F7F31">
        <w:tc>
          <w:tcPr>
            <w:tcW w:w="2547" w:type="dxa"/>
          </w:tcPr>
          <w:p w14:paraId="4B33FB1D" w14:textId="77777777" w:rsidR="00391091" w:rsidRPr="00FE76CC" w:rsidRDefault="00391091" w:rsidP="00CC000A">
            <w:pPr>
              <w:spacing w:before="120" w:after="120"/>
              <w:rPr>
                <w:b/>
              </w:rPr>
            </w:pPr>
            <w:r w:rsidRPr="00FE76CC">
              <w:rPr>
                <w:b/>
              </w:rPr>
              <w:t>Monitoring and Audit</w:t>
            </w:r>
          </w:p>
        </w:tc>
        <w:tc>
          <w:tcPr>
            <w:tcW w:w="6469" w:type="dxa"/>
          </w:tcPr>
          <w:p w14:paraId="2EA63465" w14:textId="68FF8E88" w:rsidR="00391091" w:rsidRDefault="00391091" w:rsidP="00CC000A">
            <w:pPr>
              <w:spacing w:before="120" w:after="120"/>
              <w:jc w:val="both"/>
            </w:pPr>
            <w:r>
              <w:t xml:space="preserve">The </w:t>
            </w:r>
            <w:r w:rsidRPr="006D767A">
              <w:t xml:space="preserve">Financial Institution and the </w:t>
            </w:r>
            <w:r w:rsidR="00955353">
              <w:t xml:space="preserve">Eligible </w:t>
            </w:r>
            <w:r>
              <w:t>S</w:t>
            </w:r>
            <w:r w:rsidRPr="006D767A">
              <w:t>tudent shall agree to allow and to provide access to documents related to the relevant Financial Instrument to the representatives of the Malta Government, The European Commission (including the European Anti-fraud Office (OLAF)</w:t>
            </w:r>
            <w:r>
              <w:t>)</w:t>
            </w:r>
            <w:r w:rsidRPr="006D767A">
              <w:t xml:space="preserve">, the European Court of </w:t>
            </w:r>
            <w:r>
              <w:t>A</w:t>
            </w:r>
            <w:r w:rsidRPr="006D767A">
              <w:t>uditors,</w:t>
            </w:r>
            <w:r>
              <w:t xml:space="preserve"> the</w:t>
            </w:r>
            <w:r w:rsidRPr="006D767A">
              <w:t xml:space="preserve"> MDB and any other authorised bod</w:t>
            </w:r>
            <w:r>
              <w:t>y</w:t>
            </w:r>
            <w:r w:rsidRPr="006D767A">
              <w:t xml:space="preserve"> duly empowered by applicable law to carry out audit and/or control activities. To that effect, the Financial Institution shall also include appropriate provisions in each agreement with the</w:t>
            </w:r>
            <w:r>
              <w:t xml:space="preserve"> </w:t>
            </w:r>
            <w:r w:rsidR="00955353">
              <w:t>Eligible</w:t>
            </w:r>
            <w:r w:rsidR="00955353" w:rsidRPr="006D767A">
              <w:t xml:space="preserve"> </w:t>
            </w:r>
            <w:r w:rsidRPr="006D767A">
              <w:t>Students.</w:t>
            </w:r>
          </w:p>
          <w:p w14:paraId="3934C7A8" w14:textId="77777777" w:rsidR="00391091" w:rsidRPr="006D767A" w:rsidRDefault="00391091" w:rsidP="00CC000A">
            <w:pPr>
              <w:pStyle w:val="Level6"/>
              <w:numPr>
                <w:ilvl w:val="0"/>
                <w:numId w:val="0"/>
              </w:numPr>
              <w:spacing w:before="120" w:line="240" w:lineRule="auto"/>
            </w:pPr>
            <w:r>
              <w:rPr>
                <w:rFonts w:asciiTheme="minorHAnsi" w:eastAsiaTheme="minorHAnsi" w:hAnsiTheme="minorHAnsi" w:cstheme="minorBidi"/>
                <w:w w:val="100"/>
                <w:kern w:val="0"/>
                <w:sz w:val="22"/>
                <w:szCs w:val="22"/>
              </w:rPr>
              <w:t xml:space="preserve">The </w:t>
            </w:r>
            <w:r w:rsidRPr="00973199">
              <w:rPr>
                <w:rFonts w:asciiTheme="minorHAnsi" w:eastAsiaTheme="minorHAnsi" w:hAnsiTheme="minorHAnsi" w:cstheme="minorBidi"/>
                <w:w w:val="100"/>
                <w:kern w:val="0"/>
                <w:sz w:val="22"/>
                <w:szCs w:val="22"/>
              </w:rPr>
              <w:t xml:space="preserve">MDB may itself, or engage representatives to, inspect and audit the internal policies and procedures of the </w:t>
            </w:r>
            <w:r>
              <w:rPr>
                <w:rFonts w:asciiTheme="minorHAnsi" w:eastAsiaTheme="minorHAnsi" w:hAnsiTheme="minorHAnsi" w:cstheme="minorBidi"/>
                <w:w w:val="100"/>
                <w:kern w:val="0"/>
                <w:sz w:val="22"/>
                <w:szCs w:val="22"/>
              </w:rPr>
              <w:t>Financial Institution</w:t>
            </w:r>
            <w:r w:rsidRPr="00973199">
              <w:rPr>
                <w:rFonts w:asciiTheme="minorHAnsi" w:eastAsiaTheme="minorHAnsi" w:hAnsiTheme="minorHAnsi" w:cstheme="minorBidi"/>
                <w:w w:val="100"/>
                <w:kern w:val="0"/>
                <w:sz w:val="22"/>
                <w:szCs w:val="22"/>
              </w:rPr>
              <w:t xml:space="preserve"> with respect to the Portfolio to ensure that the Portfolio is being operated in compliance thereof.</w:t>
            </w:r>
          </w:p>
        </w:tc>
      </w:tr>
      <w:tr w:rsidR="00391091" w:rsidRPr="006D767A" w14:paraId="173F073A" w14:textId="77777777" w:rsidTr="002F7F31">
        <w:tc>
          <w:tcPr>
            <w:tcW w:w="2547" w:type="dxa"/>
          </w:tcPr>
          <w:p w14:paraId="70E446DE" w14:textId="77777777" w:rsidR="00391091" w:rsidRPr="00FE76CC" w:rsidRDefault="00391091" w:rsidP="00CC000A">
            <w:pPr>
              <w:spacing w:before="120" w:after="120"/>
              <w:rPr>
                <w:b/>
              </w:rPr>
            </w:pPr>
            <w:r w:rsidRPr="00FE76CC">
              <w:rPr>
                <w:b/>
              </w:rPr>
              <w:t>Events of Default under the Guarantee</w:t>
            </w:r>
          </w:p>
          <w:p w14:paraId="7443EBF4" w14:textId="752C956B" w:rsidR="00DD7875" w:rsidRPr="006D767A" w:rsidRDefault="00DD7875" w:rsidP="00CC000A">
            <w:pPr>
              <w:spacing w:before="120" w:after="120"/>
            </w:pPr>
            <w:r w:rsidRPr="00FE76CC">
              <w:rPr>
                <w:b/>
              </w:rPr>
              <w:t xml:space="preserve">(applicable to the selected Financial </w:t>
            </w:r>
            <w:r w:rsidR="00291781" w:rsidRPr="00FE76CC">
              <w:rPr>
                <w:b/>
              </w:rPr>
              <w:t>I</w:t>
            </w:r>
            <w:r w:rsidRPr="00FE76CC">
              <w:rPr>
                <w:b/>
              </w:rPr>
              <w:t>n</w:t>
            </w:r>
            <w:r w:rsidR="00291781" w:rsidRPr="00FE76CC">
              <w:rPr>
                <w:b/>
              </w:rPr>
              <w:t>stitution</w:t>
            </w:r>
            <w:r w:rsidRPr="00FE76CC">
              <w:rPr>
                <w:b/>
              </w:rPr>
              <w:t>)</w:t>
            </w:r>
          </w:p>
        </w:tc>
        <w:tc>
          <w:tcPr>
            <w:tcW w:w="6469" w:type="dxa"/>
          </w:tcPr>
          <w:p w14:paraId="6CBFDAEF" w14:textId="77777777" w:rsidR="00391091" w:rsidRPr="006D767A" w:rsidRDefault="00391091" w:rsidP="00CC000A">
            <w:pPr>
              <w:spacing w:before="120" w:after="120"/>
              <w:jc w:val="both"/>
            </w:pPr>
            <w:r w:rsidRPr="006D767A">
              <w:t xml:space="preserve">Standard events of default (typically: failure to pay, breach of agreement, illegality and bankruptcy). The occurrence of an event of default with respect to the Financial Institution would result in the termination of the </w:t>
            </w:r>
            <w:r>
              <w:t xml:space="preserve">Operational </w:t>
            </w:r>
            <w:r w:rsidRPr="006D767A">
              <w:t xml:space="preserve">Agreement (such event, an ‘Early Termination’). No payments will be made by </w:t>
            </w:r>
            <w:r>
              <w:t xml:space="preserve">the </w:t>
            </w:r>
            <w:r w:rsidRPr="006D767A">
              <w:t xml:space="preserve">MDB if an Event of Default or potential Event of Default relating to the Financial Institution has occurred or is continuing. Such Events of Default also apply to the termination of the </w:t>
            </w:r>
            <w:r>
              <w:t>interest rate subsidy</w:t>
            </w:r>
            <w:r w:rsidRPr="006D767A">
              <w:t xml:space="preserve"> payments.</w:t>
            </w:r>
          </w:p>
        </w:tc>
      </w:tr>
      <w:tr w:rsidR="00391091" w:rsidRPr="006D767A" w14:paraId="7E82B7FB" w14:textId="77777777" w:rsidTr="002F7F31">
        <w:tc>
          <w:tcPr>
            <w:tcW w:w="2547" w:type="dxa"/>
          </w:tcPr>
          <w:p w14:paraId="6804EE0C" w14:textId="77777777" w:rsidR="00391091" w:rsidRPr="00FE76CC" w:rsidRDefault="00391091" w:rsidP="00CC000A">
            <w:pPr>
              <w:spacing w:before="120" w:after="120"/>
              <w:rPr>
                <w:b/>
              </w:rPr>
            </w:pPr>
            <w:r w:rsidRPr="00FE76CC">
              <w:rPr>
                <w:b/>
              </w:rPr>
              <w:t>State aid Requirements</w:t>
            </w:r>
          </w:p>
        </w:tc>
        <w:tc>
          <w:tcPr>
            <w:tcW w:w="6469" w:type="dxa"/>
          </w:tcPr>
          <w:p w14:paraId="202D221F" w14:textId="47739CF3" w:rsidR="00391091" w:rsidRPr="006D767A" w:rsidRDefault="00391091" w:rsidP="00CC000A">
            <w:pPr>
              <w:spacing w:before="120" w:after="120"/>
              <w:jc w:val="both"/>
            </w:pPr>
            <w:r w:rsidRPr="006D767A">
              <w:t xml:space="preserve">The </w:t>
            </w:r>
            <w:r w:rsidR="00375489">
              <w:t xml:space="preserve">FI </w:t>
            </w:r>
            <w:r>
              <w:t xml:space="preserve">is compliant </w:t>
            </w:r>
            <w:r w:rsidRPr="006D767A">
              <w:t xml:space="preserve">with State </w:t>
            </w:r>
            <w:r>
              <w:t>a</w:t>
            </w:r>
            <w:r w:rsidRPr="006D767A">
              <w:t>id rules.</w:t>
            </w:r>
          </w:p>
        </w:tc>
      </w:tr>
      <w:tr w:rsidR="00391091" w:rsidRPr="006D767A" w14:paraId="64977782" w14:textId="77777777" w:rsidTr="002F7F31">
        <w:tc>
          <w:tcPr>
            <w:tcW w:w="2547" w:type="dxa"/>
          </w:tcPr>
          <w:p w14:paraId="77D90547" w14:textId="754D7F4C" w:rsidR="00391091" w:rsidRPr="00FE76CC" w:rsidRDefault="00B55467" w:rsidP="00CC000A">
            <w:pPr>
              <w:spacing w:before="120" w:after="120"/>
              <w:jc w:val="both"/>
              <w:rPr>
                <w:b/>
              </w:rPr>
            </w:pPr>
            <w:r>
              <w:rPr>
                <w:b/>
              </w:rPr>
              <w:t>Visibility</w:t>
            </w:r>
          </w:p>
        </w:tc>
        <w:tc>
          <w:tcPr>
            <w:tcW w:w="6469" w:type="dxa"/>
          </w:tcPr>
          <w:p w14:paraId="7F034F8E" w14:textId="2411BFCC" w:rsidR="00391091" w:rsidRPr="006D767A" w:rsidRDefault="00391091" w:rsidP="00B55467">
            <w:pPr>
              <w:pStyle w:val="ListParagraph"/>
              <w:spacing w:before="120" w:after="120"/>
              <w:ind w:left="40"/>
              <w:contextualSpacing w:val="0"/>
              <w:jc w:val="both"/>
            </w:pPr>
            <w:r>
              <w:t xml:space="preserve">The </w:t>
            </w:r>
            <w:r w:rsidRPr="006D767A">
              <w:t xml:space="preserve">Financial Institution shall carry out adequate marketing and publicity campaigns – as specified in the Operational Agreement – aimed at marketing the </w:t>
            </w:r>
            <w:r w:rsidR="00375489">
              <w:t xml:space="preserve">FI </w:t>
            </w:r>
            <w:r w:rsidRPr="006D767A">
              <w:t>initiative known to the students in Malta.</w:t>
            </w:r>
          </w:p>
          <w:p w14:paraId="3D1009B3" w14:textId="77777777" w:rsidR="00391091" w:rsidRPr="006D767A" w:rsidRDefault="00391091" w:rsidP="00B55467">
            <w:pPr>
              <w:pStyle w:val="ListParagraph"/>
              <w:spacing w:before="120" w:after="120"/>
              <w:ind w:left="40"/>
              <w:contextualSpacing w:val="0"/>
              <w:jc w:val="both"/>
            </w:pPr>
            <w:r w:rsidRPr="006D767A">
              <w:t>The selected Financial Institution will be contractually required to:</w:t>
            </w:r>
          </w:p>
          <w:p w14:paraId="2B50EF78" w14:textId="3D3FB9A2" w:rsidR="00391091" w:rsidRPr="006D767A" w:rsidRDefault="00483D40" w:rsidP="00B55467">
            <w:pPr>
              <w:pStyle w:val="ListParagraph"/>
              <w:numPr>
                <w:ilvl w:val="0"/>
                <w:numId w:val="41"/>
              </w:numPr>
              <w:spacing w:before="120" w:after="120"/>
              <w:ind w:left="40" w:firstLine="283"/>
              <w:contextualSpacing w:val="0"/>
              <w:jc w:val="both"/>
            </w:pPr>
            <w:r>
              <w:t xml:space="preserve">Label the </w:t>
            </w:r>
            <w:r w:rsidR="00391091" w:rsidRPr="006D767A">
              <w:t xml:space="preserve">Product: The name of the product </w:t>
            </w:r>
            <w:r w:rsidR="001A21EC">
              <w:t>(</w:t>
            </w:r>
            <w:r w:rsidR="00967A8C">
              <w:t xml:space="preserve">FSMA) </w:t>
            </w:r>
            <w:r w:rsidR="00391091" w:rsidRPr="006D767A">
              <w:t xml:space="preserve">should </w:t>
            </w:r>
            <w:r w:rsidR="001A21EC">
              <w:t xml:space="preserve">be </w:t>
            </w:r>
            <w:r w:rsidR="00391091" w:rsidRPr="006D767A">
              <w:t xml:space="preserve">clearly </w:t>
            </w:r>
            <w:r>
              <w:t>indicate</w:t>
            </w:r>
            <w:r w:rsidR="001A21EC">
              <w:t>d</w:t>
            </w:r>
            <w:r w:rsidR="00391091" w:rsidRPr="00BD792E">
              <w:rPr>
                <w:color w:val="000000" w:themeColor="text1"/>
              </w:rPr>
              <w:t>.</w:t>
            </w:r>
          </w:p>
          <w:p w14:paraId="5AFFA775" w14:textId="55053D67" w:rsidR="00391091" w:rsidRPr="006D767A" w:rsidRDefault="00391091" w:rsidP="00B55467">
            <w:pPr>
              <w:pStyle w:val="ListParagraph"/>
              <w:numPr>
                <w:ilvl w:val="0"/>
                <w:numId w:val="41"/>
              </w:numPr>
              <w:spacing w:before="120" w:after="120"/>
              <w:ind w:left="40" w:firstLine="283"/>
              <w:contextualSpacing w:val="0"/>
              <w:jc w:val="both"/>
            </w:pPr>
            <w:r w:rsidRPr="006D767A">
              <w:t xml:space="preserve">Promote </w:t>
            </w:r>
            <w:r>
              <w:t xml:space="preserve">the </w:t>
            </w:r>
            <w:r w:rsidRPr="006D767A">
              <w:t xml:space="preserve">product as the </w:t>
            </w:r>
            <w:r w:rsidR="00375489">
              <w:t xml:space="preserve">FI </w:t>
            </w:r>
            <w:r w:rsidRPr="006D767A">
              <w:t>through its Website</w:t>
            </w:r>
            <w:r w:rsidR="00100C4A">
              <w:t>.</w:t>
            </w:r>
          </w:p>
          <w:p w14:paraId="1CC81DAE" w14:textId="74112BB4" w:rsidR="00391091" w:rsidRPr="006D767A" w:rsidRDefault="00391091" w:rsidP="00B55467">
            <w:pPr>
              <w:pStyle w:val="ListParagraph"/>
              <w:numPr>
                <w:ilvl w:val="0"/>
                <w:numId w:val="41"/>
              </w:numPr>
              <w:spacing w:before="120" w:after="120"/>
              <w:ind w:left="40" w:firstLine="283"/>
              <w:contextualSpacing w:val="0"/>
              <w:jc w:val="both"/>
            </w:pPr>
            <w:r>
              <w:t>Display</w:t>
            </w:r>
            <w:r w:rsidRPr="006D767A">
              <w:t xml:space="preserve"> a promotional </w:t>
            </w:r>
            <w:r>
              <w:t>poster</w:t>
            </w:r>
            <w:r w:rsidRPr="006D767A">
              <w:t xml:space="preserve"> inside all branches promoting this </w:t>
            </w:r>
            <w:r>
              <w:t>F</w:t>
            </w:r>
            <w:r w:rsidR="009B4B8D">
              <w:t>I</w:t>
            </w:r>
            <w:r>
              <w:t>.</w:t>
            </w:r>
          </w:p>
          <w:p w14:paraId="4B4E6C7D" w14:textId="77777777" w:rsidR="00431B65" w:rsidRPr="00431B65" w:rsidRDefault="00391091" w:rsidP="00B55467">
            <w:pPr>
              <w:pStyle w:val="ListParagraph"/>
              <w:numPr>
                <w:ilvl w:val="0"/>
                <w:numId w:val="41"/>
              </w:numPr>
              <w:spacing w:before="120" w:after="120"/>
              <w:ind w:left="40" w:firstLine="283"/>
              <w:contextualSpacing w:val="0"/>
              <w:jc w:val="both"/>
            </w:pPr>
            <w:r w:rsidRPr="006D767A">
              <w:t xml:space="preserve">Make at least two promotional publications in the three </w:t>
            </w:r>
            <w:r>
              <w:t>leading</w:t>
            </w:r>
            <w:r w:rsidRPr="006D767A">
              <w:t xml:space="preserve"> newspaper and </w:t>
            </w:r>
            <w:r w:rsidRPr="00973199">
              <w:t>social media promotion</w:t>
            </w:r>
            <w:r>
              <w:rPr>
                <w:i/>
              </w:rPr>
              <w:t>.</w:t>
            </w:r>
          </w:p>
          <w:p w14:paraId="331A044E" w14:textId="46060915" w:rsidR="00431B65" w:rsidRDefault="00391091" w:rsidP="00B55467">
            <w:pPr>
              <w:pStyle w:val="ListParagraph"/>
              <w:numPr>
                <w:ilvl w:val="0"/>
                <w:numId w:val="41"/>
              </w:numPr>
              <w:spacing w:before="120" w:after="120"/>
              <w:ind w:left="40" w:firstLine="283"/>
              <w:contextualSpacing w:val="0"/>
              <w:jc w:val="both"/>
            </w:pPr>
            <w:r w:rsidRPr="006D767A">
              <w:t xml:space="preserve">Make available promotional leaflets in all branches promoting this </w:t>
            </w:r>
            <w:r w:rsidR="009B4B8D">
              <w:t>FI</w:t>
            </w:r>
            <w:r>
              <w:t>.</w:t>
            </w:r>
            <w:r w:rsidR="00431B65">
              <w:t xml:space="preserve"> </w:t>
            </w:r>
          </w:p>
          <w:p w14:paraId="1F068A86" w14:textId="78215DD7" w:rsidR="00391091" w:rsidRPr="006D767A" w:rsidRDefault="00391091" w:rsidP="00B55467">
            <w:pPr>
              <w:pStyle w:val="ListParagraph"/>
              <w:numPr>
                <w:ilvl w:val="0"/>
                <w:numId w:val="41"/>
              </w:numPr>
              <w:spacing w:before="120" w:after="120"/>
              <w:ind w:left="40" w:firstLine="283"/>
              <w:contextualSpacing w:val="0"/>
              <w:jc w:val="both"/>
            </w:pPr>
            <w:r w:rsidRPr="006D767A">
              <w:t>Make available promotional leaflets at the relevant campus.</w:t>
            </w:r>
          </w:p>
          <w:p w14:paraId="58FD01FB" w14:textId="46BC1A80" w:rsidR="00391091" w:rsidRPr="006D767A" w:rsidRDefault="00391091" w:rsidP="00B55467">
            <w:pPr>
              <w:pStyle w:val="ListParagraph"/>
              <w:spacing w:before="120" w:after="120"/>
              <w:ind w:left="40"/>
              <w:contextualSpacing w:val="0"/>
              <w:jc w:val="both"/>
            </w:pPr>
            <w:r w:rsidRPr="006D767A">
              <w:t xml:space="preserve">All documents concerning this </w:t>
            </w:r>
            <w:r w:rsidR="009B4B8D">
              <w:t>FI</w:t>
            </w:r>
            <w:r w:rsidRPr="006D767A">
              <w:t>, including amongst others, loan applications, loan agreements, promotional material to the students, etc</w:t>
            </w:r>
            <w:r>
              <w:t>.</w:t>
            </w:r>
            <w:r w:rsidRPr="006D767A">
              <w:t xml:space="preserve"> </w:t>
            </w:r>
            <w:r>
              <w:t>sha</w:t>
            </w:r>
            <w:r w:rsidRPr="006D767A">
              <w:t>ll contain a statement mentioning that the</w:t>
            </w:r>
            <w:r>
              <w:t xml:space="preserve"> </w:t>
            </w:r>
            <w:r w:rsidR="00955353">
              <w:t xml:space="preserve">Eligible </w:t>
            </w:r>
            <w:r>
              <w:t>L</w:t>
            </w:r>
            <w:r w:rsidRPr="006D767A">
              <w:t>oan was made possible with the support of</w:t>
            </w:r>
            <w:r>
              <w:t xml:space="preserve"> the Operational Programme II (“OPII</w:t>
            </w:r>
            <w:r>
              <w:rPr>
                <w:b/>
              </w:rPr>
              <w:t>”</w:t>
            </w:r>
            <w:r>
              <w:t>) co-funded by the European Social Fund (“</w:t>
            </w:r>
            <w:r w:rsidRPr="00973199">
              <w:t>ESF</w:t>
            </w:r>
            <w:r>
              <w:t>”) and the M</w:t>
            </w:r>
            <w:r w:rsidR="000A3A37">
              <w:t>DB</w:t>
            </w:r>
            <w:r w:rsidRPr="006D767A">
              <w:t>. Appropriate text and logos</w:t>
            </w:r>
            <w:r>
              <w:t xml:space="preserve"> will be</w:t>
            </w:r>
            <w:r w:rsidRPr="006D767A">
              <w:t xml:space="preserve"> provided to the selected Financial Institution during </w:t>
            </w:r>
            <w:r>
              <w:t>the</w:t>
            </w:r>
            <w:r w:rsidRPr="006D767A">
              <w:t xml:space="preserve"> contractual negotiations</w:t>
            </w:r>
            <w:r>
              <w:t xml:space="preserve"> phase</w:t>
            </w:r>
            <w:r w:rsidRPr="006D767A">
              <w:t>.</w:t>
            </w:r>
          </w:p>
          <w:p w14:paraId="7D41E913" w14:textId="6FC1C5A2" w:rsidR="00391091" w:rsidRPr="006D767A" w:rsidRDefault="00391091" w:rsidP="00B55467">
            <w:pPr>
              <w:pStyle w:val="ListParagraph"/>
              <w:spacing w:before="120" w:after="120"/>
              <w:ind w:left="40"/>
              <w:contextualSpacing w:val="0"/>
              <w:jc w:val="both"/>
            </w:pPr>
            <w:r w:rsidRPr="006D767A">
              <w:t xml:space="preserve">Financial benefit: The financial benefit made possible </w:t>
            </w:r>
            <w:r>
              <w:t>through the</w:t>
            </w:r>
            <w:r w:rsidRPr="006D767A">
              <w:t xml:space="preserve"> FSMA Scheme should be identified at the time of signature of the loan contract and formally communicated to the </w:t>
            </w:r>
            <w:r w:rsidR="00955353">
              <w:t>Eligible</w:t>
            </w:r>
            <w:r w:rsidR="00973199">
              <w:t xml:space="preserve"> </w:t>
            </w:r>
            <w:r w:rsidRPr="006D767A">
              <w:t>Student. The financial benefit offered should also be used as a marketing tool by the Financial Institution.</w:t>
            </w:r>
          </w:p>
        </w:tc>
      </w:tr>
      <w:tr w:rsidR="00391091" w:rsidRPr="006D767A" w14:paraId="730B5F9A" w14:textId="77777777" w:rsidTr="002F7F31">
        <w:tc>
          <w:tcPr>
            <w:tcW w:w="2547" w:type="dxa"/>
          </w:tcPr>
          <w:p w14:paraId="21D0AEF0" w14:textId="32F9AA24" w:rsidR="00391091" w:rsidRPr="00FE76CC" w:rsidRDefault="00391091" w:rsidP="00BF7596">
            <w:pPr>
              <w:spacing w:before="120" w:after="120"/>
              <w:rPr>
                <w:b/>
              </w:rPr>
            </w:pPr>
            <w:r w:rsidRPr="00FE76CC">
              <w:rPr>
                <w:b/>
              </w:rPr>
              <w:t xml:space="preserve">Additional </w:t>
            </w:r>
            <w:r w:rsidR="00BF7596">
              <w:rPr>
                <w:b/>
              </w:rPr>
              <w:t xml:space="preserve">ESI </w:t>
            </w:r>
            <w:r w:rsidRPr="00FE76CC">
              <w:rPr>
                <w:b/>
              </w:rPr>
              <w:t>Funds requirements</w:t>
            </w:r>
          </w:p>
        </w:tc>
        <w:tc>
          <w:tcPr>
            <w:tcW w:w="6469" w:type="dxa"/>
          </w:tcPr>
          <w:p w14:paraId="27F3A22D" w14:textId="550A9839" w:rsidR="00391091" w:rsidRPr="006D767A" w:rsidRDefault="00391091" w:rsidP="00CC000A">
            <w:pPr>
              <w:spacing w:before="120" w:after="120"/>
              <w:jc w:val="both"/>
            </w:pPr>
            <w:r w:rsidRPr="006D767A">
              <w:t xml:space="preserve">This </w:t>
            </w:r>
            <w:r w:rsidR="00375489">
              <w:t xml:space="preserve">FI </w:t>
            </w:r>
            <w:r w:rsidRPr="006D767A">
              <w:t>is funded by</w:t>
            </w:r>
            <w:r>
              <w:t xml:space="preserve"> Operational Programme II co-funded by</w:t>
            </w:r>
            <w:r w:rsidRPr="006D767A">
              <w:t xml:space="preserve"> </w:t>
            </w:r>
            <w:r>
              <w:t>ESF</w:t>
            </w:r>
            <w:r w:rsidRPr="006D767A">
              <w:t xml:space="preserve"> and is therefore subject to </w:t>
            </w:r>
            <w:r>
              <w:t>ESIF</w:t>
            </w:r>
            <w:r w:rsidRPr="006D767A">
              <w:t xml:space="preserve"> regulation</w:t>
            </w:r>
            <w:r>
              <w:t>s</w:t>
            </w:r>
            <w:r w:rsidRPr="006D767A">
              <w:t xml:space="preserve"> and requirements</w:t>
            </w:r>
            <w:r w:rsidR="00967A8C">
              <w:t>, which can</w:t>
            </w:r>
            <w:r w:rsidRPr="006D767A">
              <w:t xml:space="preserve"> be </w:t>
            </w:r>
            <w:r w:rsidR="00280838">
              <w:t xml:space="preserve">found on the </w:t>
            </w:r>
            <w:hyperlink r:id="rId12" w:history="1">
              <w:r w:rsidR="00280838" w:rsidRPr="00D9245C">
                <w:rPr>
                  <w:rStyle w:val="Hyperlink"/>
                  <w:color w:val="auto"/>
                </w:rPr>
                <w:t>www.eufunds.gov.mt</w:t>
              </w:r>
            </w:hyperlink>
            <w:r w:rsidR="00280838">
              <w:t xml:space="preserve"> </w:t>
            </w:r>
            <w:r w:rsidR="002F7F7F">
              <w:t>web</w:t>
            </w:r>
            <w:r w:rsidRPr="006D767A">
              <w:t>site (The ESF Rules and Regulations e</w:t>
            </w:r>
            <w:r>
              <w:t>.</w:t>
            </w:r>
            <w:r w:rsidRPr="006D767A">
              <w:t xml:space="preserve">g. Monitoring and Audit, </w:t>
            </w:r>
            <w:r w:rsidR="00BF7596">
              <w:t>visibility</w:t>
            </w:r>
            <w:r w:rsidRPr="006D767A">
              <w:t>, reporting</w:t>
            </w:r>
            <w:r w:rsidR="00BF7596">
              <w:t>,</w:t>
            </w:r>
            <w:r w:rsidRPr="006D767A">
              <w:t xml:space="preserve"> etc</w:t>
            </w:r>
            <w:r>
              <w:t>.</w:t>
            </w:r>
            <w:r w:rsidRPr="006D767A">
              <w:t xml:space="preserve">). It should be noted however that more detailed information on actions necessary to ensure compliance of operations linked to this </w:t>
            </w:r>
            <w:r w:rsidR="00375489">
              <w:t xml:space="preserve">FI </w:t>
            </w:r>
            <w:r w:rsidRPr="006D767A">
              <w:t xml:space="preserve">with all </w:t>
            </w:r>
            <w:r>
              <w:t>ESIF</w:t>
            </w:r>
            <w:r w:rsidRPr="006D767A">
              <w:t xml:space="preserve"> requirements (e.g. retention of documents, environmental protection, equality and non-discrimination) will be provided to and discussed with the selected Financial Institution during the contractual negotiations process.</w:t>
            </w:r>
          </w:p>
          <w:p w14:paraId="48A16779" w14:textId="71DFDADE" w:rsidR="00391091" w:rsidRPr="006D767A" w:rsidRDefault="00391091" w:rsidP="00CC000A">
            <w:pPr>
              <w:spacing w:before="120" w:after="120"/>
              <w:jc w:val="both"/>
            </w:pPr>
            <w:r w:rsidRPr="006D767A">
              <w:t xml:space="preserve">The </w:t>
            </w:r>
            <w:r w:rsidR="00375489">
              <w:t xml:space="preserve">FI </w:t>
            </w:r>
            <w:r w:rsidRPr="006D767A">
              <w:t xml:space="preserve">is further subject to additional national </w:t>
            </w:r>
            <w:r w:rsidR="002B59D2">
              <w:t>ESI Funds</w:t>
            </w:r>
            <w:r w:rsidRPr="006D767A">
              <w:t xml:space="preserve"> requirements. National </w:t>
            </w:r>
            <w:r w:rsidR="002B59D2">
              <w:t>ESI Funds</w:t>
            </w:r>
            <w:r w:rsidRPr="006D767A">
              <w:t xml:space="preserve"> requirements may apply, </w:t>
            </w:r>
            <w:r w:rsidRPr="002F399D">
              <w:rPr>
                <w:i/>
              </w:rPr>
              <w:t>inter alia</w:t>
            </w:r>
            <w:r w:rsidRPr="006D767A">
              <w:t>, to any amendment of Operational Agreements which may</w:t>
            </w:r>
            <w:proofErr w:type="gramStart"/>
            <w:r w:rsidR="00674EBC">
              <w:t>,</w:t>
            </w:r>
            <w:r w:rsidRPr="006D767A">
              <w:t xml:space="preserve"> in particular</w:t>
            </w:r>
            <w:r w:rsidR="00674EBC">
              <w:t>,</w:t>
            </w:r>
            <w:r w:rsidRPr="006D767A">
              <w:t xml:space="preserve"> be</w:t>
            </w:r>
            <w:proofErr w:type="gramEnd"/>
            <w:r w:rsidRPr="006D767A">
              <w:t xml:space="preserve"> necessary if the purpose, objective, eligibility conditions, timeframe, or the budget </w:t>
            </w:r>
            <w:r>
              <w:t>of</w:t>
            </w:r>
            <w:r w:rsidRPr="006D767A">
              <w:t xml:space="preserve"> the </w:t>
            </w:r>
            <w:r w:rsidR="00375489">
              <w:t xml:space="preserve">FI </w:t>
            </w:r>
            <w:r w:rsidRPr="006D767A">
              <w:t xml:space="preserve">changes. Save as otherwise provided under relevant law, such changes in the </w:t>
            </w:r>
            <w:r w:rsidR="00375489">
              <w:t xml:space="preserve">FI </w:t>
            </w:r>
            <w:r w:rsidRPr="006D767A">
              <w:t>would only apply as of the date of implementation of the additional requirements.</w:t>
            </w:r>
          </w:p>
        </w:tc>
      </w:tr>
      <w:tr w:rsidR="00391091" w:rsidRPr="006D767A" w14:paraId="0B4149DD" w14:textId="77777777" w:rsidTr="002F7F31">
        <w:tc>
          <w:tcPr>
            <w:tcW w:w="2547" w:type="dxa"/>
          </w:tcPr>
          <w:p w14:paraId="165F7E33" w14:textId="77777777" w:rsidR="00391091" w:rsidRPr="00FE76CC" w:rsidRDefault="00391091" w:rsidP="00CC000A">
            <w:pPr>
              <w:spacing w:before="120" w:after="120"/>
              <w:jc w:val="both"/>
              <w:rPr>
                <w:b/>
              </w:rPr>
            </w:pPr>
            <w:r w:rsidRPr="00FE76CC">
              <w:rPr>
                <w:b/>
              </w:rPr>
              <w:t>Transfer</w:t>
            </w:r>
          </w:p>
        </w:tc>
        <w:tc>
          <w:tcPr>
            <w:tcW w:w="6469" w:type="dxa"/>
          </w:tcPr>
          <w:p w14:paraId="687929B1" w14:textId="64BB349C" w:rsidR="00391091" w:rsidRPr="006D767A" w:rsidRDefault="00391091" w:rsidP="00CC000A">
            <w:pPr>
              <w:spacing w:before="120" w:after="120"/>
              <w:jc w:val="both"/>
            </w:pPr>
            <w:r w:rsidRPr="006D767A">
              <w:t xml:space="preserve">Neither </w:t>
            </w:r>
            <w:r>
              <w:t>the MDB</w:t>
            </w:r>
            <w:r w:rsidRPr="006D767A">
              <w:t xml:space="preserve"> </w:t>
            </w:r>
            <w:r>
              <w:t>n</w:t>
            </w:r>
            <w:r w:rsidRPr="006D767A">
              <w:t xml:space="preserve">or the Financial Institution shall be entitled to transfer any or all of its rights and obligations under the </w:t>
            </w:r>
            <w:r w:rsidR="00375489">
              <w:t xml:space="preserve">FI </w:t>
            </w:r>
            <w:r w:rsidRPr="006D767A">
              <w:t xml:space="preserve">without the consent of the other party, provided that the MA shall in the event that the </w:t>
            </w:r>
            <w:r>
              <w:t>F</w:t>
            </w:r>
            <w:r w:rsidRPr="006D767A">
              <w:t xml:space="preserve">unding </w:t>
            </w:r>
            <w:r>
              <w:t>A</w:t>
            </w:r>
            <w:r w:rsidRPr="006D767A">
              <w:t xml:space="preserve">greement by which </w:t>
            </w:r>
            <w:r>
              <w:t>the MDB</w:t>
            </w:r>
            <w:r w:rsidRPr="006D767A">
              <w:t xml:space="preserve"> was appointed as the entity to establish and operate the </w:t>
            </w:r>
            <w:r w:rsidR="00BF7596">
              <w:t>FI</w:t>
            </w:r>
            <w:r w:rsidR="00BF7596" w:rsidRPr="006D767A">
              <w:rPr>
                <w:color w:val="FF0000"/>
              </w:rPr>
              <w:t xml:space="preserve"> </w:t>
            </w:r>
            <w:r w:rsidRPr="006D767A">
              <w:t xml:space="preserve">is terminated (for any reason whatsoever), would be at any time be entitled to transfer all or part of its rights and obligations under the </w:t>
            </w:r>
            <w:r w:rsidR="00375489">
              <w:t xml:space="preserve">FI </w:t>
            </w:r>
            <w:r w:rsidRPr="006D767A">
              <w:t>to any person/entity. Appropriate arrangements will be put in place for these purposes.</w:t>
            </w:r>
          </w:p>
        </w:tc>
      </w:tr>
      <w:tr w:rsidR="00391091" w:rsidRPr="006D767A" w14:paraId="08EB7215" w14:textId="77777777" w:rsidTr="002F7F31">
        <w:tc>
          <w:tcPr>
            <w:tcW w:w="2547" w:type="dxa"/>
          </w:tcPr>
          <w:p w14:paraId="62BB5F9A" w14:textId="77777777" w:rsidR="00391091" w:rsidRPr="00FE76CC" w:rsidRDefault="00391091" w:rsidP="00CC000A">
            <w:pPr>
              <w:spacing w:before="120" w:after="120"/>
              <w:jc w:val="both"/>
              <w:rPr>
                <w:b/>
              </w:rPr>
            </w:pPr>
            <w:r w:rsidRPr="00FE76CC">
              <w:rPr>
                <w:b/>
              </w:rPr>
              <w:t>Continuing Criteria</w:t>
            </w:r>
          </w:p>
        </w:tc>
        <w:tc>
          <w:tcPr>
            <w:tcW w:w="6469" w:type="dxa"/>
          </w:tcPr>
          <w:p w14:paraId="494F7940" w14:textId="023FB289" w:rsidR="00391091" w:rsidRPr="006D767A" w:rsidRDefault="00391091" w:rsidP="00CC000A">
            <w:pPr>
              <w:spacing w:before="120" w:after="120"/>
              <w:jc w:val="both"/>
            </w:pPr>
            <w:r w:rsidRPr="006D767A">
              <w:t xml:space="preserve">The </w:t>
            </w:r>
            <w:r w:rsidR="00375489">
              <w:t xml:space="preserve">FI </w:t>
            </w:r>
            <w:r w:rsidRPr="006D767A">
              <w:t xml:space="preserve">shall apply only to </w:t>
            </w:r>
            <w:r>
              <w:t>Eligible L</w:t>
            </w:r>
            <w:r w:rsidRPr="006D767A">
              <w:t xml:space="preserve">oans satisfying at all times certain criteria, including ensuring that no </w:t>
            </w:r>
            <w:r>
              <w:t>i</w:t>
            </w:r>
            <w:r w:rsidRPr="006D767A">
              <w:t xml:space="preserve">rregularity has occurred, where ‘Irregularity’ means the infringement of a provision of European Union law resulting from an act or omission by the Financial Institution and/or </w:t>
            </w:r>
            <w:r>
              <w:t xml:space="preserve">the </w:t>
            </w:r>
            <w:r w:rsidR="00955353">
              <w:t>Eligible</w:t>
            </w:r>
            <w:r w:rsidR="00955353" w:rsidRPr="006D767A">
              <w:t xml:space="preserve"> </w:t>
            </w:r>
            <w:r w:rsidRPr="006D767A">
              <w:t>Student which is the borrower of a loan which has, or would have, the effect of prejudicing the general budget of the European Union by charging on unjustified item of expenditure/ fee to the general budget.</w:t>
            </w:r>
          </w:p>
        </w:tc>
      </w:tr>
      <w:tr w:rsidR="00391091" w:rsidRPr="006D767A" w14:paraId="4AB334E0" w14:textId="77777777" w:rsidTr="002F7F31">
        <w:tc>
          <w:tcPr>
            <w:tcW w:w="2547" w:type="dxa"/>
          </w:tcPr>
          <w:p w14:paraId="4B843D56" w14:textId="77777777" w:rsidR="00391091" w:rsidRPr="00FE76CC" w:rsidRDefault="00391091" w:rsidP="00CC000A">
            <w:pPr>
              <w:spacing w:before="120" w:after="120"/>
              <w:jc w:val="both"/>
              <w:rPr>
                <w:b/>
              </w:rPr>
            </w:pPr>
            <w:r w:rsidRPr="00FE76CC">
              <w:rPr>
                <w:b/>
              </w:rPr>
              <w:t>Exclusion Process</w:t>
            </w:r>
          </w:p>
        </w:tc>
        <w:tc>
          <w:tcPr>
            <w:tcW w:w="6469" w:type="dxa"/>
          </w:tcPr>
          <w:p w14:paraId="2B31DE71" w14:textId="47A9153E" w:rsidR="00391091" w:rsidRPr="006D767A" w:rsidRDefault="00391091" w:rsidP="005529F7">
            <w:pPr>
              <w:pStyle w:val="ListParagraph"/>
              <w:numPr>
                <w:ilvl w:val="0"/>
                <w:numId w:val="20"/>
              </w:numPr>
              <w:spacing w:before="80" w:after="80"/>
              <w:contextualSpacing w:val="0"/>
              <w:jc w:val="both"/>
            </w:pPr>
            <w:r w:rsidRPr="006D767A">
              <w:t xml:space="preserve">At any time MDB shall have the right to verify whether a Financial Institution complies </w:t>
            </w:r>
            <w:r w:rsidRPr="00BD792E">
              <w:t xml:space="preserve">with “the </w:t>
            </w:r>
            <w:r w:rsidRPr="00BD792E">
              <w:rPr>
                <w:b/>
              </w:rPr>
              <w:t>Eligible Loan</w:t>
            </w:r>
            <w:r w:rsidRPr="00BD792E">
              <w:t xml:space="preserve">”, “the </w:t>
            </w:r>
            <w:r w:rsidR="00955353" w:rsidRPr="001F55BD">
              <w:rPr>
                <w:b/>
              </w:rPr>
              <w:t>Eligible</w:t>
            </w:r>
            <w:r w:rsidR="00955353" w:rsidRPr="002B59D2">
              <w:rPr>
                <w:b/>
              </w:rPr>
              <w:t xml:space="preserve"> </w:t>
            </w:r>
            <w:r w:rsidRPr="002B59D2">
              <w:rPr>
                <w:b/>
              </w:rPr>
              <w:t>S</w:t>
            </w:r>
            <w:r w:rsidRPr="00BD792E">
              <w:rPr>
                <w:b/>
              </w:rPr>
              <w:t>tudent</w:t>
            </w:r>
            <w:r w:rsidRPr="00BD792E">
              <w:t xml:space="preserve">” and </w:t>
            </w:r>
            <w:r w:rsidR="00AF0BDA">
              <w:t xml:space="preserve">“the </w:t>
            </w:r>
            <w:r w:rsidRPr="00BD792E">
              <w:rPr>
                <w:b/>
              </w:rPr>
              <w:t>Continuing Criteria</w:t>
            </w:r>
            <w:r w:rsidR="00AF0BDA">
              <w:rPr>
                <w:b/>
              </w:rPr>
              <w:t>”</w:t>
            </w:r>
            <w:r w:rsidR="005537E8" w:rsidRPr="00BD792E">
              <w:rPr>
                <w:b/>
              </w:rPr>
              <w:t xml:space="preserve"> </w:t>
            </w:r>
            <w:r w:rsidRPr="00BD792E">
              <w:t>above.</w:t>
            </w:r>
          </w:p>
          <w:p w14:paraId="397C8384" w14:textId="0EBFF036" w:rsidR="00391091" w:rsidRPr="006D767A" w:rsidRDefault="00391091" w:rsidP="005529F7">
            <w:pPr>
              <w:pStyle w:val="ListParagraph"/>
              <w:spacing w:before="80" w:after="80"/>
              <w:contextualSpacing w:val="0"/>
              <w:jc w:val="both"/>
            </w:pPr>
            <w:r w:rsidRPr="006D767A">
              <w:t>I</w:t>
            </w:r>
            <w:r>
              <w:t>f</w:t>
            </w:r>
            <w:r w:rsidRPr="006D767A">
              <w:t xml:space="preserve"> </w:t>
            </w:r>
            <w:r>
              <w:t xml:space="preserve">the </w:t>
            </w:r>
            <w:r w:rsidRPr="006D767A">
              <w:t xml:space="preserve">MDB considers that </w:t>
            </w:r>
            <w:r w:rsidR="00AC29DD">
              <w:t>a</w:t>
            </w:r>
            <w:r w:rsidRPr="006D767A">
              <w:t xml:space="preserve"> </w:t>
            </w:r>
            <w:r>
              <w:t>L</w:t>
            </w:r>
            <w:r w:rsidRPr="006D767A">
              <w:t>oan</w:t>
            </w:r>
            <w:r w:rsidR="00AC29DD">
              <w:t xml:space="preserve"> which has been included in the Eligible Portfolio</w:t>
            </w:r>
            <w:r w:rsidRPr="006D767A">
              <w:t xml:space="preserve"> does not comply with the Eligibility Criteria or any undertakings, requirements or requests, or if it becomes unlawful, </w:t>
            </w:r>
            <w:r>
              <w:t xml:space="preserve">the </w:t>
            </w:r>
            <w:r w:rsidRPr="006D767A">
              <w:t xml:space="preserve">MDB may exclude such loan from the Portfolio. As a result, such excluded loans shall not be </w:t>
            </w:r>
            <w:proofErr w:type="gramStart"/>
            <w:r w:rsidRPr="006D767A">
              <w:t>taken into account</w:t>
            </w:r>
            <w:proofErr w:type="gramEnd"/>
            <w:r w:rsidRPr="006D767A">
              <w:t xml:space="preserve"> for the purpose of calculating the Actual </w:t>
            </w:r>
            <w:r w:rsidR="00533461">
              <w:t xml:space="preserve">Portfolio </w:t>
            </w:r>
            <w:r w:rsidRPr="006D767A">
              <w:t xml:space="preserve">Volume under the </w:t>
            </w:r>
            <w:r w:rsidR="00533461">
              <w:t>G</w:t>
            </w:r>
            <w:r w:rsidR="00533461" w:rsidRPr="006D767A">
              <w:t xml:space="preserve">uarantee </w:t>
            </w:r>
            <w:r w:rsidRPr="006D767A">
              <w:t>and no interest</w:t>
            </w:r>
            <w:r>
              <w:t xml:space="preserve"> rate subsidy</w:t>
            </w:r>
            <w:r w:rsidRPr="006D767A">
              <w:t xml:space="preserve"> payment will be made available.</w:t>
            </w:r>
          </w:p>
          <w:p w14:paraId="18ADC935" w14:textId="7DDEAB29" w:rsidR="00391091" w:rsidRPr="006D767A" w:rsidRDefault="00391091" w:rsidP="005529F7">
            <w:pPr>
              <w:pStyle w:val="ListParagraph"/>
              <w:numPr>
                <w:ilvl w:val="0"/>
                <w:numId w:val="20"/>
              </w:numPr>
              <w:spacing w:before="80" w:after="80"/>
              <w:contextualSpacing w:val="0"/>
              <w:jc w:val="both"/>
            </w:pPr>
            <w:r w:rsidRPr="006D767A">
              <w:t>If the Financial Institution becomes aware of the same matters above, the Financial Institution shall include such information in the</w:t>
            </w:r>
            <w:r w:rsidR="00533461">
              <w:t xml:space="preserve"> immediate</w:t>
            </w:r>
            <w:r w:rsidR="00BD792E">
              <w:t xml:space="preserve"> next </w:t>
            </w:r>
            <w:r w:rsidRPr="006D767A">
              <w:t xml:space="preserve">Report </w:t>
            </w:r>
            <w:r w:rsidR="00533461">
              <w:t>to be</w:t>
            </w:r>
            <w:r w:rsidR="00BD792E">
              <w:t xml:space="preserve"> </w:t>
            </w:r>
            <w:r w:rsidRPr="006D767A">
              <w:t xml:space="preserve">delivered to </w:t>
            </w:r>
            <w:r>
              <w:t xml:space="preserve">the </w:t>
            </w:r>
            <w:r w:rsidRPr="006D767A">
              <w:t>MDB.</w:t>
            </w:r>
          </w:p>
          <w:p w14:paraId="294AE06A" w14:textId="77777777" w:rsidR="00391091" w:rsidRPr="006D767A" w:rsidRDefault="00391091" w:rsidP="005529F7">
            <w:pPr>
              <w:spacing w:before="80" w:after="80"/>
              <w:jc w:val="both"/>
            </w:pPr>
            <w:r w:rsidRPr="006D767A">
              <w:t xml:space="preserve">In each of the cases (a) and (b) the </w:t>
            </w:r>
            <w:r>
              <w:t>Eligible L</w:t>
            </w:r>
            <w:r w:rsidRPr="006D767A">
              <w:t>oan shall be excluded from the Portfolio, and shall not:</w:t>
            </w:r>
          </w:p>
          <w:p w14:paraId="38900BDD" w14:textId="77777777" w:rsidR="00391091" w:rsidRPr="006D767A" w:rsidRDefault="00391091" w:rsidP="005529F7">
            <w:pPr>
              <w:pStyle w:val="ListParagraph"/>
              <w:numPr>
                <w:ilvl w:val="0"/>
                <w:numId w:val="21"/>
              </w:numPr>
              <w:spacing w:before="80" w:after="80"/>
              <w:contextualSpacing w:val="0"/>
              <w:jc w:val="both"/>
            </w:pPr>
            <w:r>
              <w:t>b</w:t>
            </w:r>
            <w:r w:rsidRPr="006D767A">
              <w:t xml:space="preserve">e covered by the </w:t>
            </w:r>
            <w:r>
              <w:t>G</w:t>
            </w:r>
            <w:r w:rsidRPr="006D767A">
              <w:t xml:space="preserve">uarantee as from </w:t>
            </w:r>
            <w:r>
              <w:t xml:space="preserve">the </w:t>
            </w:r>
            <w:r w:rsidRPr="006D767A">
              <w:t xml:space="preserve">date on which it became a </w:t>
            </w:r>
            <w:r>
              <w:t>N</w:t>
            </w:r>
            <w:r w:rsidRPr="006D767A">
              <w:t xml:space="preserve">on-eligible </w:t>
            </w:r>
            <w:r>
              <w:t>L</w:t>
            </w:r>
            <w:r w:rsidRPr="006D767A">
              <w:t>oan</w:t>
            </w:r>
            <w:r>
              <w:t>;</w:t>
            </w:r>
          </w:p>
          <w:p w14:paraId="0923F076" w14:textId="3FC5AB91" w:rsidR="00391091" w:rsidRPr="006D767A" w:rsidRDefault="00391091" w:rsidP="005529F7">
            <w:pPr>
              <w:pStyle w:val="ListParagraph"/>
              <w:numPr>
                <w:ilvl w:val="0"/>
                <w:numId w:val="21"/>
              </w:numPr>
              <w:spacing w:before="80" w:after="80"/>
              <w:contextualSpacing w:val="0"/>
              <w:jc w:val="both"/>
            </w:pPr>
            <w:r>
              <w:t>t</w:t>
            </w:r>
            <w:r w:rsidRPr="006D767A">
              <w:t xml:space="preserve">he </w:t>
            </w:r>
            <w:r>
              <w:t>interest rate subsidy</w:t>
            </w:r>
            <w:r w:rsidRPr="006D767A">
              <w:t xml:space="preserve"> paid towards the interest from the start of the loan will be refunded back to </w:t>
            </w:r>
            <w:r>
              <w:t xml:space="preserve">the </w:t>
            </w:r>
            <w:r w:rsidRPr="006D767A">
              <w:t>MDB.</w:t>
            </w:r>
          </w:p>
          <w:p w14:paraId="3AE964BB" w14:textId="26CDEAA0" w:rsidR="00391091" w:rsidRPr="006D767A" w:rsidRDefault="00391091" w:rsidP="005529F7">
            <w:pPr>
              <w:spacing w:before="80" w:after="80"/>
              <w:jc w:val="both"/>
            </w:pPr>
            <w:r w:rsidRPr="006D767A">
              <w:t xml:space="preserve">However, if </w:t>
            </w:r>
            <w:r w:rsidR="00AC29DD">
              <w:t xml:space="preserve">a </w:t>
            </w:r>
            <w:r w:rsidR="00533461">
              <w:t>l</w:t>
            </w:r>
            <w:r w:rsidRPr="006D767A">
              <w:t xml:space="preserve">oan included in the Portfolio becomes a </w:t>
            </w:r>
            <w:r>
              <w:t>N</w:t>
            </w:r>
            <w:r w:rsidRPr="006D767A">
              <w:t>on-</w:t>
            </w:r>
            <w:r>
              <w:t>e</w:t>
            </w:r>
            <w:r w:rsidRPr="006D767A">
              <w:t xml:space="preserve">ligible Loan, </w:t>
            </w:r>
            <w:proofErr w:type="gramStart"/>
            <w:r w:rsidRPr="006D767A">
              <w:t>as a result of</w:t>
            </w:r>
            <w:proofErr w:type="gramEnd"/>
            <w:r w:rsidRPr="006D767A">
              <w:t xml:space="preserve"> any event or circumstance beyond the control of the Financial Institution and the Financial Institution can provide evidence to this effect, showing it has acted in good faith, the </w:t>
            </w:r>
            <w:r>
              <w:t>Eligible L</w:t>
            </w:r>
            <w:r w:rsidRPr="006D767A">
              <w:t xml:space="preserve">oan remains covered by the </w:t>
            </w:r>
            <w:r>
              <w:t>G</w:t>
            </w:r>
            <w:r w:rsidRPr="006D767A">
              <w:t>uarantee but:</w:t>
            </w:r>
          </w:p>
          <w:p w14:paraId="26CA2D2E" w14:textId="307210B3" w:rsidR="00391091" w:rsidRPr="006D767A" w:rsidRDefault="00391091" w:rsidP="00D90932">
            <w:pPr>
              <w:pStyle w:val="ListParagraph"/>
              <w:numPr>
                <w:ilvl w:val="0"/>
                <w:numId w:val="22"/>
              </w:numPr>
              <w:spacing w:before="120" w:after="120"/>
              <w:contextualSpacing w:val="0"/>
              <w:jc w:val="both"/>
            </w:pPr>
            <w:r w:rsidRPr="006D767A">
              <w:t xml:space="preserve">No further </w:t>
            </w:r>
            <w:r w:rsidR="00533461">
              <w:t>drawdowns</w:t>
            </w:r>
            <w:r w:rsidR="00533461" w:rsidRPr="006D767A">
              <w:t xml:space="preserve"> </w:t>
            </w:r>
            <w:r w:rsidRPr="006D767A">
              <w:t xml:space="preserve">should be allowed from the </w:t>
            </w:r>
            <w:r>
              <w:t>Eligible L</w:t>
            </w:r>
            <w:r w:rsidRPr="006D767A">
              <w:t>oan; and</w:t>
            </w:r>
          </w:p>
          <w:p w14:paraId="35340FFC" w14:textId="77777777" w:rsidR="00391091" w:rsidRPr="006D767A" w:rsidRDefault="00391091" w:rsidP="00D90932">
            <w:pPr>
              <w:pStyle w:val="ListParagraph"/>
              <w:numPr>
                <w:ilvl w:val="0"/>
                <w:numId w:val="22"/>
              </w:numPr>
              <w:spacing w:before="120" w:after="120"/>
              <w:contextualSpacing w:val="0"/>
              <w:jc w:val="both"/>
            </w:pPr>
            <w:r w:rsidRPr="006D767A">
              <w:t xml:space="preserve">If possible, the Financial Institution should take measures to accelerate the repayment of the </w:t>
            </w:r>
            <w:r>
              <w:t>Eligible L</w:t>
            </w:r>
            <w:r w:rsidRPr="006D767A">
              <w:t xml:space="preserve">oan; and </w:t>
            </w:r>
          </w:p>
          <w:p w14:paraId="2955FAF5" w14:textId="4273E8AE" w:rsidR="00391091" w:rsidRPr="006D767A" w:rsidRDefault="00391091" w:rsidP="00D90932">
            <w:pPr>
              <w:pStyle w:val="ListParagraph"/>
              <w:numPr>
                <w:ilvl w:val="0"/>
                <w:numId w:val="22"/>
              </w:numPr>
              <w:spacing w:before="120" w:after="120"/>
              <w:contextualSpacing w:val="0"/>
              <w:jc w:val="both"/>
            </w:pPr>
            <w:r w:rsidRPr="006D767A">
              <w:t xml:space="preserve">If possible, the </w:t>
            </w:r>
            <w:r>
              <w:t>F</w:t>
            </w:r>
            <w:r w:rsidRPr="006D767A">
              <w:t xml:space="preserve">inancial Institution should take measures to safeguard its position and that of MDB by requesting the </w:t>
            </w:r>
            <w:r w:rsidR="00955353">
              <w:t xml:space="preserve">Eligible </w:t>
            </w:r>
            <w:r>
              <w:t>S</w:t>
            </w:r>
            <w:r w:rsidRPr="006D767A">
              <w:t>tudent to provide additional</w:t>
            </w:r>
            <w:r w:rsidR="00333DF8">
              <w:t xml:space="preserve"> </w:t>
            </w:r>
            <w:r w:rsidR="00533461">
              <w:t>collateral</w:t>
            </w:r>
            <w:r>
              <w:t>;</w:t>
            </w:r>
          </w:p>
          <w:p w14:paraId="62895C9F" w14:textId="626C1D9A" w:rsidR="00391091" w:rsidRPr="006D767A" w:rsidRDefault="00391091" w:rsidP="00D90932">
            <w:pPr>
              <w:pStyle w:val="ListParagraph"/>
              <w:numPr>
                <w:ilvl w:val="0"/>
                <w:numId w:val="22"/>
              </w:numPr>
              <w:spacing w:before="120" w:after="120"/>
              <w:contextualSpacing w:val="0"/>
              <w:jc w:val="both"/>
            </w:pPr>
            <w:r w:rsidRPr="006D767A">
              <w:t xml:space="preserve">No further </w:t>
            </w:r>
            <w:r>
              <w:t>interest rate subsidy</w:t>
            </w:r>
            <w:r w:rsidRPr="006D767A">
              <w:t xml:space="preserve"> </w:t>
            </w:r>
            <w:r w:rsidR="00533461">
              <w:t xml:space="preserve">payment </w:t>
            </w:r>
            <w:r w:rsidRPr="006D767A">
              <w:t>will be</w:t>
            </w:r>
            <w:r w:rsidR="00533461">
              <w:t xml:space="preserve"> made</w:t>
            </w:r>
            <w:r>
              <w:t>.</w:t>
            </w:r>
          </w:p>
        </w:tc>
      </w:tr>
      <w:tr w:rsidR="00391091" w:rsidRPr="006D767A" w14:paraId="3A1D156A" w14:textId="77777777" w:rsidTr="002F7F31">
        <w:tc>
          <w:tcPr>
            <w:tcW w:w="2547" w:type="dxa"/>
          </w:tcPr>
          <w:p w14:paraId="58004B8B" w14:textId="77777777" w:rsidR="00391091" w:rsidRPr="00FE76CC" w:rsidRDefault="00391091" w:rsidP="00CC000A">
            <w:pPr>
              <w:spacing w:before="120" w:after="120"/>
              <w:jc w:val="both"/>
              <w:rPr>
                <w:b/>
              </w:rPr>
            </w:pPr>
            <w:r w:rsidRPr="00FE76CC">
              <w:rPr>
                <w:b/>
              </w:rPr>
              <w:t>Right of Clawback</w:t>
            </w:r>
          </w:p>
        </w:tc>
        <w:tc>
          <w:tcPr>
            <w:tcW w:w="6469" w:type="dxa"/>
          </w:tcPr>
          <w:p w14:paraId="1E5EE8FE" w14:textId="4B2998A2" w:rsidR="00391091" w:rsidRPr="006D767A" w:rsidRDefault="00391091" w:rsidP="00CC000A">
            <w:pPr>
              <w:spacing w:before="120" w:after="120"/>
              <w:jc w:val="both"/>
            </w:pPr>
            <w:r w:rsidRPr="006D767A">
              <w:t xml:space="preserve">In specified circumstances, </w:t>
            </w:r>
            <w:r>
              <w:t xml:space="preserve">the </w:t>
            </w:r>
            <w:r w:rsidRPr="00973199">
              <w:t>MDB</w:t>
            </w:r>
            <w:r w:rsidRPr="006D767A">
              <w:t xml:space="preserve"> will be entitled to be repaid by the Financial Institution</w:t>
            </w:r>
            <w:r w:rsidR="004E0CA9">
              <w:t>/s</w:t>
            </w:r>
            <w:r w:rsidRPr="006D767A">
              <w:t>, or to require the Financial Institution</w:t>
            </w:r>
            <w:r w:rsidR="004E0CA9">
              <w:t>/s</w:t>
            </w:r>
            <w:r w:rsidRPr="006D767A">
              <w:t xml:space="preserve"> to request repayment from the relevant </w:t>
            </w:r>
            <w:r>
              <w:t xml:space="preserve"> </w:t>
            </w:r>
            <w:r w:rsidR="00955353">
              <w:t>Eligible</w:t>
            </w:r>
            <w:r>
              <w:t xml:space="preserve"> S</w:t>
            </w:r>
            <w:r w:rsidRPr="006D767A">
              <w:t xml:space="preserve">tudent, as the case may be, of certain amounts, including any amounts paid by </w:t>
            </w:r>
            <w:r>
              <w:t xml:space="preserve">the </w:t>
            </w:r>
            <w:r w:rsidRPr="006D767A">
              <w:t>MDB in excess of the Cap Amount</w:t>
            </w:r>
            <w:r>
              <w:t xml:space="preserve"> and </w:t>
            </w:r>
            <w:r w:rsidRPr="006D767A">
              <w:t xml:space="preserve">any excess amount paid by </w:t>
            </w:r>
            <w:r>
              <w:t xml:space="preserve">the </w:t>
            </w:r>
            <w:r w:rsidRPr="006D767A">
              <w:t>MDB as a result of an exclusion of a loan from the Portfolio.</w:t>
            </w:r>
          </w:p>
        </w:tc>
      </w:tr>
    </w:tbl>
    <w:p w14:paraId="292F20E2" w14:textId="77777777" w:rsidR="00127D1E" w:rsidRPr="006D767A" w:rsidRDefault="00127D1E" w:rsidP="00127D1E"/>
    <w:p w14:paraId="5648348A" w14:textId="4AC96927" w:rsidR="005537E8" w:rsidRDefault="005537E8" w:rsidP="005537E8">
      <w:pPr>
        <w:rPr>
          <w:b/>
        </w:rPr>
      </w:pPr>
      <w:r>
        <w:br w:type="page"/>
      </w:r>
      <w:r w:rsidRPr="00B80354">
        <w:rPr>
          <w:b/>
        </w:rPr>
        <w:t>A</w:t>
      </w:r>
      <w:r w:rsidR="00291781" w:rsidRPr="00B80354">
        <w:rPr>
          <w:b/>
        </w:rPr>
        <w:t>NNEX</w:t>
      </w:r>
      <w:r w:rsidRPr="00B80354">
        <w:rPr>
          <w:b/>
        </w:rPr>
        <w:t xml:space="preserve"> 1 – SELECTION</w:t>
      </w:r>
      <w:r>
        <w:rPr>
          <w:b/>
        </w:rPr>
        <w:t xml:space="preserve"> CRITERIA </w:t>
      </w:r>
      <w:r w:rsidRPr="002568F0">
        <w:rPr>
          <w:b/>
        </w:rPr>
        <w:t>to</w:t>
      </w:r>
      <w:r>
        <w:rPr>
          <w:b/>
        </w:rPr>
        <w:t xml:space="preserve"> </w:t>
      </w:r>
      <w:r w:rsidRPr="002568F0">
        <w:rPr>
          <w:b/>
        </w:rPr>
        <w:t xml:space="preserve">Call for </w:t>
      </w:r>
      <w:r w:rsidR="006D541E">
        <w:rPr>
          <w:b/>
        </w:rPr>
        <w:t>Service</w:t>
      </w:r>
      <w:r w:rsidR="006D541E" w:rsidRPr="002568F0">
        <w:rPr>
          <w:b/>
        </w:rPr>
        <w:t xml:space="preserve"> </w:t>
      </w:r>
      <w:r w:rsidRPr="002568F0">
        <w:rPr>
          <w:b/>
        </w:rPr>
        <w:t xml:space="preserve">No. </w:t>
      </w:r>
      <w:r w:rsidR="006D541E">
        <w:rPr>
          <w:b/>
        </w:rPr>
        <w:t>MDB/001/2019</w:t>
      </w:r>
      <w:r w:rsidR="005529F7">
        <w:rPr>
          <w:b/>
        </w:rPr>
        <w:t xml:space="preserve"> </w:t>
      </w:r>
    </w:p>
    <w:p w14:paraId="5C986F98" w14:textId="77777777" w:rsidR="005537E8" w:rsidRPr="002568F0" w:rsidRDefault="005537E8" w:rsidP="005537E8">
      <w:pPr>
        <w:rPr>
          <w:b/>
        </w:rPr>
      </w:pPr>
    </w:p>
    <w:p w14:paraId="2B1478F0" w14:textId="77777777" w:rsidR="005537E8" w:rsidRDefault="005537E8" w:rsidP="005537E8"/>
    <w:tbl>
      <w:tblPr>
        <w:tblStyle w:val="TableGrid"/>
        <w:tblW w:w="0" w:type="auto"/>
        <w:tblLook w:val="04A0" w:firstRow="1" w:lastRow="0" w:firstColumn="1" w:lastColumn="0" w:noHBand="0" w:noVBand="1"/>
      </w:tblPr>
      <w:tblGrid>
        <w:gridCol w:w="988"/>
        <w:gridCol w:w="6237"/>
        <w:gridCol w:w="1791"/>
      </w:tblGrid>
      <w:tr w:rsidR="005537E8" w14:paraId="06BB128C" w14:textId="77777777" w:rsidTr="00653CA7">
        <w:trPr>
          <w:trHeight w:val="85"/>
        </w:trPr>
        <w:tc>
          <w:tcPr>
            <w:tcW w:w="7225" w:type="dxa"/>
            <w:gridSpan w:val="2"/>
            <w:vMerge w:val="restart"/>
            <w:shd w:val="clear" w:color="auto" w:fill="F2F2F2" w:themeFill="background1" w:themeFillShade="F2"/>
            <w:vAlign w:val="center"/>
          </w:tcPr>
          <w:p w14:paraId="4B704AC1" w14:textId="374F9329" w:rsidR="005537E8" w:rsidRPr="002568F0" w:rsidRDefault="00653CA7" w:rsidP="00D90932">
            <w:pPr>
              <w:pStyle w:val="ListParagraph"/>
              <w:numPr>
                <w:ilvl w:val="0"/>
                <w:numId w:val="42"/>
              </w:numPr>
              <w:spacing w:before="120" w:after="120"/>
            </w:pPr>
            <w:r>
              <w:rPr>
                <w:b/>
              </w:rPr>
              <w:t>SE</w:t>
            </w:r>
            <w:r w:rsidR="005537E8" w:rsidRPr="00653CA7">
              <w:rPr>
                <w:b/>
              </w:rPr>
              <w:t>LECTION CRITERIA</w:t>
            </w:r>
          </w:p>
        </w:tc>
        <w:tc>
          <w:tcPr>
            <w:tcW w:w="1791" w:type="dxa"/>
            <w:shd w:val="clear" w:color="auto" w:fill="F2F2F2" w:themeFill="background1" w:themeFillShade="F2"/>
          </w:tcPr>
          <w:p w14:paraId="2DF0B777" w14:textId="77777777" w:rsidR="005537E8" w:rsidRPr="00653CA7" w:rsidRDefault="005537E8" w:rsidP="00653CA7">
            <w:pPr>
              <w:spacing w:before="120" w:after="120"/>
              <w:jc w:val="center"/>
              <w:rPr>
                <w:b/>
              </w:rPr>
            </w:pPr>
            <w:r w:rsidRPr="00653CA7">
              <w:rPr>
                <w:b/>
              </w:rPr>
              <w:t>System of appraisal</w:t>
            </w:r>
          </w:p>
        </w:tc>
      </w:tr>
      <w:tr w:rsidR="005537E8" w14:paraId="29EEBE49" w14:textId="77777777" w:rsidTr="00653CA7">
        <w:trPr>
          <w:trHeight w:val="84"/>
        </w:trPr>
        <w:tc>
          <w:tcPr>
            <w:tcW w:w="7225" w:type="dxa"/>
            <w:gridSpan w:val="2"/>
            <w:vMerge/>
            <w:shd w:val="clear" w:color="auto" w:fill="F2F2F2" w:themeFill="background1" w:themeFillShade="F2"/>
          </w:tcPr>
          <w:p w14:paraId="51C32ED2" w14:textId="77777777" w:rsidR="005537E8" w:rsidRDefault="005537E8" w:rsidP="00653CA7">
            <w:pPr>
              <w:spacing w:before="120" w:after="120"/>
            </w:pPr>
          </w:p>
        </w:tc>
        <w:tc>
          <w:tcPr>
            <w:tcW w:w="1791" w:type="dxa"/>
            <w:shd w:val="clear" w:color="auto" w:fill="F2F2F2" w:themeFill="background1" w:themeFillShade="F2"/>
          </w:tcPr>
          <w:p w14:paraId="47E7FD57" w14:textId="77777777" w:rsidR="005537E8" w:rsidRPr="00653CA7" w:rsidRDefault="005537E8" w:rsidP="00653CA7">
            <w:pPr>
              <w:spacing w:before="120" w:after="120"/>
              <w:jc w:val="center"/>
              <w:rPr>
                <w:b/>
              </w:rPr>
            </w:pPr>
            <w:r w:rsidRPr="00653CA7">
              <w:rPr>
                <w:b/>
              </w:rPr>
              <w:t>Yes/No</w:t>
            </w:r>
          </w:p>
        </w:tc>
      </w:tr>
      <w:tr w:rsidR="005537E8" w14:paraId="030C1508" w14:textId="77777777" w:rsidTr="0000225C">
        <w:tc>
          <w:tcPr>
            <w:tcW w:w="988" w:type="dxa"/>
          </w:tcPr>
          <w:p w14:paraId="4706BB87" w14:textId="77777777" w:rsidR="005537E8" w:rsidRDefault="005537E8" w:rsidP="00653CA7">
            <w:pPr>
              <w:spacing w:before="120" w:after="120"/>
              <w:jc w:val="center"/>
            </w:pPr>
            <w:r>
              <w:t>1.1</w:t>
            </w:r>
          </w:p>
        </w:tc>
        <w:tc>
          <w:tcPr>
            <w:tcW w:w="6237" w:type="dxa"/>
          </w:tcPr>
          <w:p w14:paraId="68550F0B" w14:textId="00D1307C" w:rsidR="005537E8" w:rsidRDefault="00963C29" w:rsidP="00653CA7">
            <w:pPr>
              <w:spacing w:before="120" w:after="120"/>
              <w:jc w:val="both"/>
            </w:pPr>
            <w:r>
              <w:t xml:space="preserve">The </w:t>
            </w:r>
            <w:r w:rsidR="00375489">
              <w:t xml:space="preserve">Financial </w:t>
            </w:r>
            <w:r w:rsidR="0052793C">
              <w:t>Institution is</w:t>
            </w:r>
            <w:r w:rsidR="00375489">
              <w:t xml:space="preserve"> </w:t>
            </w:r>
            <w:r w:rsidR="005537E8">
              <w:t xml:space="preserve">authorised to carry out </w:t>
            </w:r>
            <w:r w:rsidR="00100AD8">
              <w:t xml:space="preserve">the </w:t>
            </w:r>
            <w:r w:rsidR="005537E8">
              <w:t xml:space="preserve">business </w:t>
            </w:r>
            <w:r w:rsidR="00100AD8">
              <w:t xml:space="preserve">of banking </w:t>
            </w:r>
            <w:r w:rsidR="005537E8">
              <w:t>in Malta under the applicable regulatory framework.</w:t>
            </w:r>
          </w:p>
        </w:tc>
        <w:tc>
          <w:tcPr>
            <w:tcW w:w="1791" w:type="dxa"/>
          </w:tcPr>
          <w:p w14:paraId="222F1382" w14:textId="77777777" w:rsidR="005537E8" w:rsidRDefault="005537E8" w:rsidP="00653CA7">
            <w:pPr>
              <w:spacing w:before="120" w:after="120"/>
            </w:pPr>
          </w:p>
        </w:tc>
      </w:tr>
      <w:tr w:rsidR="005E0ADB" w14:paraId="3AEA83F3" w14:textId="77777777" w:rsidTr="0000225C">
        <w:tc>
          <w:tcPr>
            <w:tcW w:w="988" w:type="dxa"/>
          </w:tcPr>
          <w:p w14:paraId="25BC8E6F" w14:textId="224B76A6" w:rsidR="005E0ADB" w:rsidRDefault="00796636" w:rsidP="00653CA7">
            <w:pPr>
              <w:spacing w:before="120" w:after="120"/>
              <w:jc w:val="center"/>
            </w:pPr>
            <w:r>
              <w:t>1</w:t>
            </w:r>
            <w:r w:rsidR="005E0ADB">
              <w:t>.2</w:t>
            </w:r>
          </w:p>
        </w:tc>
        <w:tc>
          <w:tcPr>
            <w:tcW w:w="6237" w:type="dxa"/>
          </w:tcPr>
          <w:p w14:paraId="4DB0FEE8" w14:textId="4A6CF1B7" w:rsidR="005E0ADB" w:rsidRDefault="005E0ADB" w:rsidP="00653CA7">
            <w:pPr>
              <w:spacing w:before="120" w:after="120"/>
              <w:jc w:val="both"/>
            </w:pPr>
            <w:r>
              <w:t>The F</w:t>
            </w:r>
            <w:r w:rsidR="00387F8E">
              <w:t xml:space="preserve">inancial Institution </w:t>
            </w:r>
            <w:r w:rsidR="00375489">
              <w:t>has</w:t>
            </w:r>
            <w:r>
              <w:t xml:space="preserve"> branch</w:t>
            </w:r>
            <w:r w:rsidR="00375489">
              <w:t>es</w:t>
            </w:r>
            <w:r>
              <w:t xml:space="preserve"> in Malta and Gozo</w:t>
            </w:r>
            <w:r w:rsidR="004E0CA9">
              <w:t>.</w:t>
            </w:r>
          </w:p>
        </w:tc>
        <w:tc>
          <w:tcPr>
            <w:tcW w:w="1791" w:type="dxa"/>
          </w:tcPr>
          <w:p w14:paraId="1A2FE82B" w14:textId="77777777" w:rsidR="005E0ADB" w:rsidRDefault="005E0ADB" w:rsidP="00653CA7">
            <w:pPr>
              <w:spacing w:before="120" w:after="120"/>
            </w:pPr>
          </w:p>
        </w:tc>
      </w:tr>
      <w:tr w:rsidR="005537E8" w14:paraId="32381F3C" w14:textId="77777777" w:rsidTr="0000225C">
        <w:tc>
          <w:tcPr>
            <w:tcW w:w="988" w:type="dxa"/>
          </w:tcPr>
          <w:p w14:paraId="018F8D3B" w14:textId="3D172841" w:rsidR="005537E8" w:rsidRDefault="00796636" w:rsidP="00653CA7">
            <w:pPr>
              <w:spacing w:before="120" w:after="120"/>
              <w:jc w:val="center"/>
            </w:pPr>
            <w:r>
              <w:t>1</w:t>
            </w:r>
            <w:r w:rsidR="005537E8">
              <w:t>.</w:t>
            </w:r>
            <w:r w:rsidR="005E0ADB">
              <w:t>3</w:t>
            </w:r>
          </w:p>
        </w:tc>
        <w:tc>
          <w:tcPr>
            <w:tcW w:w="6237" w:type="dxa"/>
          </w:tcPr>
          <w:p w14:paraId="7B29C22F" w14:textId="34D42A71" w:rsidR="005537E8" w:rsidRDefault="005537E8" w:rsidP="00653CA7">
            <w:pPr>
              <w:spacing w:before="120" w:after="120"/>
              <w:jc w:val="both"/>
            </w:pPr>
            <w:r>
              <w:t xml:space="preserve">The </w:t>
            </w:r>
            <w:r w:rsidR="00C36002">
              <w:t>Call for Service</w:t>
            </w:r>
            <w:r>
              <w:t xml:space="preserve"> is prepared in accordance with </w:t>
            </w:r>
            <w:r w:rsidR="00375489">
              <w:t>Appendixes to</w:t>
            </w:r>
            <w:r>
              <w:t xml:space="preserve"> the Call </w:t>
            </w:r>
            <w:r w:rsidR="00C36002">
              <w:t>for Service</w:t>
            </w:r>
            <w:r>
              <w:t>. All necessary supporting documents are provided (in the form requested if specified)</w:t>
            </w:r>
            <w:r w:rsidR="004E0CA9">
              <w:t>.</w:t>
            </w:r>
          </w:p>
        </w:tc>
        <w:tc>
          <w:tcPr>
            <w:tcW w:w="1791" w:type="dxa"/>
          </w:tcPr>
          <w:p w14:paraId="0C0B8D4B" w14:textId="77777777" w:rsidR="005537E8" w:rsidRDefault="005537E8" w:rsidP="00653CA7">
            <w:pPr>
              <w:spacing w:before="120" w:after="120"/>
            </w:pPr>
          </w:p>
        </w:tc>
      </w:tr>
      <w:tr w:rsidR="005537E8" w14:paraId="04A20614" w14:textId="77777777" w:rsidTr="0000225C">
        <w:tc>
          <w:tcPr>
            <w:tcW w:w="988" w:type="dxa"/>
          </w:tcPr>
          <w:p w14:paraId="2E1301FC" w14:textId="33CCBE50" w:rsidR="005537E8" w:rsidRDefault="00796636" w:rsidP="00653CA7">
            <w:pPr>
              <w:spacing w:before="120" w:after="120"/>
              <w:jc w:val="center"/>
            </w:pPr>
            <w:r>
              <w:t>1</w:t>
            </w:r>
            <w:r w:rsidR="005537E8">
              <w:t>.</w:t>
            </w:r>
            <w:r w:rsidR="005E0ADB">
              <w:t>4</w:t>
            </w:r>
          </w:p>
        </w:tc>
        <w:tc>
          <w:tcPr>
            <w:tcW w:w="6237" w:type="dxa"/>
          </w:tcPr>
          <w:p w14:paraId="2A3FFB70" w14:textId="537E717A" w:rsidR="005537E8" w:rsidRDefault="005537E8" w:rsidP="00653CA7">
            <w:pPr>
              <w:spacing w:before="120" w:after="120"/>
              <w:jc w:val="both"/>
            </w:pPr>
            <w:r>
              <w:t xml:space="preserve">The </w:t>
            </w:r>
            <w:r w:rsidR="00C36002">
              <w:t>Call for Service</w:t>
            </w:r>
            <w:r>
              <w:t xml:space="preserve"> is duly signed</w:t>
            </w:r>
            <w:r w:rsidR="004E0CA9">
              <w:t>.</w:t>
            </w:r>
          </w:p>
        </w:tc>
        <w:tc>
          <w:tcPr>
            <w:tcW w:w="1791" w:type="dxa"/>
          </w:tcPr>
          <w:p w14:paraId="739DB7D3" w14:textId="77777777" w:rsidR="005537E8" w:rsidRDefault="005537E8" w:rsidP="00653CA7">
            <w:pPr>
              <w:spacing w:before="120" w:after="120"/>
            </w:pPr>
          </w:p>
        </w:tc>
      </w:tr>
      <w:tr w:rsidR="005537E8" w14:paraId="7F60BE5A" w14:textId="77777777" w:rsidTr="0000225C">
        <w:tc>
          <w:tcPr>
            <w:tcW w:w="988" w:type="dxa"/>
          </w:tcPr>
          <w:p w14:paraId="56CFDA72" w14:textId="3A424D1B" w:rsidR="005537E8" w:rsidRDefault="00796636" w:rsidP="00653CA7">
            <w:pPr>
              <w:spacing w:before="120" w:after="120"/>
              <w:jc w:val="center"/>
            </w:pPr>
            <w:r>
              <w:t>1</w:t>
            </w:r>
            <w:r w:rsidR="005537E8">
              <w:t>.</w:t>
            </w:r>
            <w:r w:rsidR="005E0ADB">
              <w:t>5</w:t>
            </w:r>
          </w:p>
        </w:tc>
        <w:tc>
          <w:tcPr>
            <w:tcW w:w="6237" w:type="dxa"/>
          </w:tcPr>
          <w:p w14:paraId="7EFC358E" w14:textId="056A20F1" w:rsidR="005537E8" w:rsidRDefault="005537E8" w:rsidP="00653CA7">
            <w:pPr>
              <w:spacing w:before="120" w:after="120"/>
              <w:jc w:val="both"/>
            </w:pPr>
            <w:r>
              <w:t xml:space="preserve">The </w:t>
            </w:r>
            <w:r w:rsidR="00C36002">
              <w:t>Call for Service</w:t>
            </w:r>
            <w:r>
              <w:t xml:space="preserve"> is submitted in English</w:t>
            </w:r>
            <w:r w:rsidR="004E0CA9">
              <w:t>.</w:t>
            </w:r>
          </w:p>
        </w:tc>
        <w:tc>
          <w:tcPr>
            <w:tcW w:w="1791" w:type="dxa"/>
          </w:tcPr>
          <w:p w14:paraId="2C9F893D" w14:textId="77777777" w:rsidR="005537E8" w:rsidRDefault="005537E8" w:rsidP="00653CA7">
            <w:pPr>
              <w:spacing w:before="120" w:after="120"/>
            </w:pPr>
          </w:p>
        </w:tc>
      </w:tr>
      <w:tr w:rsidR="005537E8" w14:paraId="51D458D2" w14:textId="77777777" w:rsidTr="0000225C">
        <w:tc>
          <w:tcPr>
            <w:tcW w:w="988" w:type="dxa"/>
          </w:tcPr>
          <w:p w14:paraId="3D7370B1" w14:textId="15EF1AD3" w:rsidR="005537E8" w:rsidRDefault="00796636" w:rsidP="00653CA7">
            <w:pPr>
              <w:spacing w:before="120" w:after="120"/>
              <w:jc w:val="center"/>
            </w:pPr>
            <w:r>
              <w:t>1</w:t>
            </w:r>
            <w:r w:rsidR="005537E8">
              <w:t>.</w:t>
            </w:r>
            <w:r w:rsidR="005E0ADB">
              <w:t>6</w:t>
            </w:r>
          </w:p>
        </w:tc>
        <w:tc>
          <w:tcPr>
            <w:tcW w:w="6237" w:type="dxa"/>
          </w:tcPr>
          <w:p w14:paraId="10B702A8" w14:textId="3575DB48" w:rsidR="005537E8" w:rsidRDefault="005537E8" w:rsidP="00653CA7">
            <w:pPr>
              <w:spacing w:before="120" w:after="120"/>
              <w:jc w:val="both"/>
            </w:pPr>
            <w:r>
              <w:t xml:space="preserve">The </w:t>
            </w:r>
            <w:r w:rsidR="00C36002">
              <w:t>Call for Service</w:t>
            </w:r>
            <w:r>
              <w:t xml:space="preserve"> is submitted by both registered mail and e-mail</w:t>
            </w:r>
            <w:r w:rsidR="004E0CA9">
              <w:t>.</w:t>
            </w:r>
          </w:p>
        </w:tc>
        <w:tc>
          <w:tcPr>
            <w:tcW w:w="1791" w:type="dxa"/>
          </w:tcPr>
          <w:p w14:paraId="57ED9E07" w14:textId="77777777" w:rsidR="005537E8" w:rsidRDefault="005537E8" w:rsidP="00653CA7">
            <w:pPr>
              <w:spacing w:before="120" w:after="120"/>
            </w:pPr>
          </w:p>
        </w:tc>
      </w:tr>
      <w:tr w:rsidR="005537E8" w14:paraId="12EDBFF6" w14:textId="77777777" w:rsidTr="0000225C">
        <w:tc>
          <w:tcPr>
            <w:tcW w:w="988" w:type="dxa"/>
          </w:tcPr>
          <w:p w14:paraId="5A6047CE" w14:textId="354A6062" w:rsidR="005537E8" w:rsidRDefault="00796636" w:rsidP="00653CA7">
            <w:pPr>
              <w:spacing w:before="120" w:after="120"/>
              <w:jc w:val="center"/>
            </w:pPr>
            <w:r>
              <w:t>1</w:t>
            </w:r>
            <w:r w:rsidR="005537E8">
              <w:t>.</w:t>
            </w:r>
            <w:r w:rsidR="005E0ADB">
              <w:t>7</w:t>
            </w:r>
          </w:p>
        </w:tc>
        <w:tc>
          <w:tcPr>
            <w:tcW w:w="6237" w:type="dxa"/>
          </w:tcPr>
          <w:p w14:paraId="3AAF89AB" w14:textId="326DB2EC" w:rsidR="005537E8" w:rsidRDefault="005537E8" w:rsidP="00653CA7">
            <w:pPr>
              <w:spacing w:before="120" w:after="120"/>
              <w:jc w:val="both"/>
            </w:pPr>
            <w:r>
              <w:t xml:space="preserve">The </w:t>
            </w:r>
            <w:r w:rsidR="00C36002">
              <w:t>Call for Service</w:t>
            </w:r>
            <w:r>
              <w:t xml:space="preserve"> is submitted within the Deadline</w:t>
            </w:r>
            <w:r w:rsidR="004E0CA9">
              <w:t>.</w:t>
            </w:r>
          </w:p>
        </w:tc>
        <w:tc>
          <w:tcPr>
            <w:tcW w:w="1791" w:type="dxa"/>
          </w:tcPr>
          <w:p w14:paraId="7B414B2C" w14:textId="77777777" w:rsidR="005537E8" w:rsidRDefault="005537E8" w:rsidP="00653CA7">
            <w:pPr>
              <w:spacing w:before="120" w:after="120"/>
            </w:pPr>
          </w:p>
        </w:tc>
      </w:tr>
      <w:tr w:rsidR="005537E8" w:rsidRPr="005E0ADB" w14:paraId="409CD0B3" w14:textId="77777777" w:rsidTr="0000225C">
        <w:tc>
          <w:tcPr>
            <w:tcW w:w="988" w:type="dxa"/>
          </w:tcPr>
          <w:p w14:paraId="45EA0646" w14:textId="68BA3CBE" w:rsidR="005537E8" w:rsidRPr="004B7DB8" w:rsidRDefault="00796636" w:rsidP="00653CA7">
            <w:pPr>
              <w:spacing w:before="120" w:after="120"/>
              <w:jc w:val="center"/>
            </w:pPr>
            <w:r w:rsidRPr="004B7DB8">
              <w:t>1</w:t>
            </w:r>
            <w:r w:rsidR="005537E8" w:rsidRPr="004B7DB8">
              <w:t>.</w:t>
            </w:r>
            <w:r w:rsidR="00375489" w:rsidRPr="004B7DB8">
              <w:t>8</w:t>
            </w:r>
          </w:p>
        </w:tc>
        <w:tc>
          <w:tcPr>
            <w:tcW w:w="6237" w:type="dxa"/>
          </w:tcPr>
          <w:p w14:paraId="3DFF9754" w14:textId="04A46970" w:rsidR="005537E8" w:rsidRPr="004B7DB8" w:rsidRDefault="005537E8" w:rsidP="00653CA7">
            <w:pPr>
              <w:spacing w:before="120" w:after="120"/>
              <w:jc w:val="both"/>
            </w:pPr>
            <w:r w:rsidRPr="004B7DB8">
              <w:t xml:space="preserve">The </w:t>
            </w:r>
            <w:r w:rsidR="00C36002" w:rsidRPr="004B7DB8">
              <w:t>Call for Services</w:t>
            </w:r>
            <w:r w:rsidRPr="004B7DB8">
              <w:t xml:space="preserve"> s</w:t>
            </w:r>
            <w:r w:rsidR="009B321B" w:rsidRPr="004B7DB8">
              <w:t xml:space="preserve">atisfies </w:t>
            </w:r>
            <w:r w:rsidRPr="004B7DB8">
              <w:t xml:space="preserve">at least the </w:t>
            </w:r>
            <w:r w:rsidR="009B321B" w:rsidRPr="004B7DB8">
              <w:t>criteria listed in Article 7 of Commission Delegated Regulation (EU) No 480/2014 of 3 March 2014</w:t>
            </w:r>
            <w:r w:rsidR="004E0CA9">
              <w:t>.</w:t>
            </w:r>
          </w:p>
        </w:tc>
        <w:tc>
          <w:tcPr>
            <w:tcW w:w="1791" w:type="dxa"/>
          </w:tcPr>
          <w:p w14:paraId="115D3A93" w14:textId="77777777" w:rsidR="005537E8" w:rsidRPr="001F55BD" w:rsidRDefault="005537E8" w:rsidP="00653CA7">
            <w:pPr>
              <w:spacing w:before="120" w:after="120"/>
              <w:rPr>
                <w:color w:val="FF0000"/>
              </w:rPr>
            </w:pPr>
          </w:p>
        </w:tc>
      </w:tr>
      <w:tr w:rsidR="005537E8" w14:paraId="6D710135" w14:textId="77777777" w:rsidTr="0000225C">
        <w:tc>
          <w:tcPr>
            <w:tcW w:w="988" w:type="dxa"/>
          </w:tcPr>
          <w:p w14:paraId="5AFF3ED0" w14:textId="1882DA2E" w:rsidR="005537E8" w:rsidRDefault="00796636" w:rsidP="00653CA7">
            <w:pPr>
              <w:spacing w:before="120" w:after="120"/>
              <w:jc w:val="center"/>
            </w:pPr>
            <w:r>
              <w:t>1</w:t>
            </w:r>
            <w:r w:rsidR="005537E8">
              <w:t>.</w:t>
            </w:r>
            <w:r w:rsidR="00375489">
              <w:t>9</w:t>
            </w:r>
          </w:p>
        </w:tc>
        <w:tc>
          <w:tcPr>
            <w:tcW w:w="6237" w:type="dxa"/>
          </w:tcPr>
          <w:p w14:paraId="0D199EF6" w14:textId="684A4776" w:rsidR="005537E8" w:rsidRDefault="005537E8" w:rsidP="00653CA7">
            <w:pPr>
              <w:spacing w:before="120" w:after="120"/>
              <w:jc w:val="both"/>
            </w:pPr>
            <w:r>
              <w:t xml:space="preserve">The </w:t>
            </w:r>
            <w:r w:rsidR="00C36002">
              <w:t>Call for Service</w:t>
            </w:r>
            <w:r>
              <w:t xml:space="preserve"> addresses all the item of the </w:t>
            </w:r>
            <w:r w:rsidR="004E0CA9">
              <w:t>FI</w:t>
            </w:r>
            <w:r>
              <w:t xml:space="preserve">, including any special condition set out in the relevant parts of the </w:t>
            </w:r>
            <w:r w:rsidR="00375489">
              <w:t xml:space="preserve">FI </w:t>
            </w:r>
            <w:r>
              <w:t>description</w:t>
            </w:r>
            <w:r w:rsidR="004E0CA9">
              <w:t>.</w:t>
            </w:r>
            <w:r>
              <w:t xml:space="preserve"> </w:t>
            </w:r>
          </w:p>
        </w:tc>
        <w:tc>
          <w:tcPr>
            <w:tcW w:w="1791" w:type="dxa"/>
          </w:tcPr>
          <w:p w14:paraId="2AF3FE56" w14:textId="77777777" w:rsidR="005537E8" w:rsidRDefault="005537E8" w:rsidP="00653CA7">
            <w:pPr>
              <w:spacing w:before="120" w:after="120"/>
            </w:pPr>
          </w:p>
        </w:tc>
      </w:tr>
      <w:tr w:rsidR="005537E8" w14:paraId="1F86A783" w14:textId="77777777" w:rsidTr="0000225C">
        <w:tc>
          <w:tcPr>
            <w:tcW w:w="988" w:type="dxa"/>
          </w:tcPr>
          <w:p w14:paraId="23483189" w14:textId="5DD5528B" w:rsidR="005537E8" w:rsidRDefault="00796636" w:rsidP="00653CA7">
            <w:pPr>
              <w:spacing w:before="120" w:after="120"/>
              <w:jc w:val="center"/>
            </w:pPr>
            <w:r>
              <w:t>1</w:t>
            </w:r>
            <w:r w:rsidR="005537E8">
              <w:t>.</w:t>
            </w:r>
            <w:r w:rsidR="00375489">
              <w:t>10</w:t>
            </w:r>
          </w:p>
        </w:tc>
        <w:tc>
          <w:tcPr>
            <w:tcW w:w="6237" w:type="dxa"/>
          </w:tcPr>
          <w:p w14:paraId="23A1222C" w14:textId="453BB3A8" w:rsidR="005537E8" w:rsidRDefault="005537E8" w:rsidP="00653CA7">
            <w:pPr>
              <w:spacing w:before="120" w:after="120"/>
              <w:jc w:val="both"/>
            </w:pPr>
            <w:r>
              <w:t xml:space="preserve">The Applicant </w:t>
            </w:r>
            <w:proofErr w:type="gramStart"/>
            <w:r>
              <w:t xml:space="preserve">is in </w:t>
            </w:r>
            <w:r w:rsidRPr="00D05CB1">
              <w:t>agreement</w:t>
            </w:r>
            <w:proofErr w:type="gramEnd"/>
            <w:r w:rsidRPr="00D05CB1">
              <w:t xml:space="preserve"> to be audited by </w:t>
            </w:r>
            <w:r>
              <w:t>MDB</w:t>
            </w:r>
            <w:r w:rsidR="00852108">
              <w:t>,</w:t>
            </w:r>
            <w:r>
              <w:t xml:space="preserve"> </w:t>
            </w:r>
            <w:r w:rsidR="005E0ADB">
              <w:t xml:space="preserve">Malta </w:t>
            </w:r>
            <w:r w:rsidRPr="00D05CB1">
              <w:t>audit bodies, the Commission and the European Court of Auditors.</w:t>
            </w:r>
          </w:p>
        </w:tc>
        <w:tc>
          <w:tcPr>
            <w:tcW w:w="1791" w:type="dxa"/>
          </w:tcPr>
          <w:p w14:paraId="77A8BDCF" w14:textId="77777777" w:rsidR="005537E8" w:rsidRDefault="005537E8" w:rsidP="00653CA7">
            <w:pPr>
              <w:spacing w:before="120" w:after="120"/>
            </w:pPr>
          </w:p>
        </w:tc>
      </w:tr>
    </w:tbl>
    <w:p w14:paraId="0BD50311" w14:textId="77777777" w:rsidR="005537E8" w:rsidRDefault="005537E8" w:rsidP="005537E8"/>
    <w:p w14:paraId="05E358AE" w14:textId="77777777" w:rsidR="005537E8" w:rsidRDefault="005537E8" w:rsidP="005537E8">
      <w:pPr>
        <w:tabs>
          <w:tab w:val="left" w:pos="1065"/>
        </w:tabs>
      </w:pPr>
    </w:p>
    <w:p w14:paraId="7DCDB2D8" w14:textId="77777777" w:rsidR="005537E8" w:rsidRDefault="005537E8" w:rsidP="005537E8">
      <w:pPr>
        <w:tabs>
          <w:tab w:val="left" w:pos="1065"/>
        </w:tabs>
      </w:pPr>
    </w:p>
    <w:p w14:paraId="57530C0B" w14:textId="77777777" w:rsidR="005537E8" w:rsidRDefault="005537E8" w:rsidP="005537E8">
      <w:pPr>
        <w:tabs>
          <w:tab w:val="left" w:pos="1065"/>
        </w:tabs>
      </w:pPr>
    </w:p>
    <w:p w14:paraId="2801DA57" w14:textId="77777777" w:rsidR="005537E8" w:rsidRDefault="005537E8" w:rsidP="005537E8">
      <w:pPr>
        <w:tabs>
          <w:tab w:val="left" w:pos="1065"/>
        </w:tabs>
      </w:pPr>
    </w:p>
    <w:p w14:paraId="6A21F500" w14:textId="77777777" w:rsidR="005537E8" w:rsidRDefault="005537E8" w:rsidP="005537E8">
      <w:pPr>
        <w:tabs>
          <w:tab w:val="left" w:pos="1065"/>
        </w:tabs>
      </w:pPr>
    </w:p>
    <w:p w14:paraId="33C0E016" w14:textId="77777777" w:rsidR="005537E8" w:rsidRDefault="005537E8" w:rsidP="005537E8">
      <w:pPr>
        <w:tabs>
          <w:tab w:val="left" w:pos="1065"/>
        </w:tabs>
      </w:pPr>
    </w:p>
    <w:p w14:paraId="096172BA" w14:textId="77777777" w:rsidR="005537E8" w:rsidRDefault="005537E8" w:rsidP="005537E8">
      <w:pPr>
        <w:tabs>
          <w:tab w:val="left" w:pos="1065"/>
        </w:tabs>
      </w:pPr>
    </w:p>
    <w:p w14:paraId="7A7B0F07" w14:textId="77777777" w:rsidR="005537E8" w:rsidRDefault="005537E8" w:rsidP="005537E8">
      <w:pPr>
        <w:tabs>
          <w:tab w:val="left" w:pos="1065"/>
        </w:tabs>
      </w:pPr>
    </w:p>
    <w:p w14:paraId="5DFC67FE" w14:textId="77777777" w:rsidR="005537E8" w:rsidRDefault="005537E8" w:rsidP="005537E8">
      <w:pPr>
        <w:tabs>
          <w:tab w:val="left" w:pos="1065"/>
        </w:tabs>
      </w:pPr>
    </w:p>
    <w:p w14:paraId="372E5D35" w14:textId="77777777" w:rsidR="005537E8" w:rsidRDefault="005537E8" w:rsidP="005537E8">
      <w:pPr>
        <w:tabs>
          <w:tab w:val="left" w:pos="1065"/>
        </w:tabs>
      </w:pPr>
    </w:p>
    <w:p w14:paraId="08BA7D3E" w14:textId="77777777" w:rsidR="005537E8" w:rsidRDefault="005537E8" w:rsidP="005537E8">
      <w:pPr>
        <w:tabs>
          <w:tab w:val="left" w:pos="1065"/>
        </w:tabs>
      </w:pPr>
    </w:p>
    <w:p w14:paraId="756375D5" w14:textId="77777777" w:rsidR="005537E8" w:rsidRDefault="005537E8" w:rsidP="005537E8">
      <w:pPr>
        <w:tabs>
          <w:tab w:val="left" w:pos="1065"/>
        </w:tabs>
      </w:pPr>
    </w:p>
    <w:p w14:paraId="03AC6312" w14:textId="77777777" w:rsidR="005537E8" w:rsidRDefault="005537E8" w:rsidP="005537E8">
      <w:pPr>
        <w:tabs>
          <w:tab w:val="left" w:pos="1065"/>
        </w:tabs>
      </w:pPr>
    </w:p>
    <w:p w14:paraId="0761523B" w14:textId="77777777" w:rsidR="005537E8" w:rsidRDefault="005537E8" w:rsidP="005537E8">
      <w:pPr>
        <w:tabs>
          <w:tab w:val="left" w:pos="1065"/>
        </w:tabs>
      </w:pPr>
    </w:p>
    <w:p w14:paraId="3B9C46C0" w14:textId="77777777" w:rsidR="005537E8" w:rsidRDefault="005537E8" w:rsidP="005537E8">
      <w:pPr>
        <w:tabs>
          <w:tab w:val="left" w:pos="1065"/>
        </w:tabs>
      </w:pPr>
    </w:p>
    <w:p w14:paraId="7552F8C2" w14:textId="77777777" w:rsidR="005537E8" w:rsidRDefault="005537E8" w:rsidP="005537E8">
      <w:pPr>
        <w:tabs>
          <w:tab w:val="left" w:pos="1065"/>
        </w:tabs>
      </w:pPr>
    </w:p>
    <w:p w14:paraId="1E2D72A1" w14:textId="77777777" w:rsidR="004E0CA9" w:rsidRDefault="004E0CA9">
      <w:pPr>
        <w:rPr>
          <w:b/>
        </w:rPr>
      </w:pPr>
      <w:r>
        <w:rPr>
          <w:b/>
        </w:rPr>
        <w:br w:type="page"/>
      </w:r>
    </w:p>
    <w:p w14:paraId="45CBDB44" w14:textId="5081C9F4" w:rsidR="005537E8" w:rsidRDefault="005537E8" w:rsidP="005537E8">
      <w:pPr>
        <w:rPr>
          <w:b/>
        </w:rPr>
      </w:pPr>
      <w:r w:rsidRPr="002568F0">
        <w:rPr>
          <w:b/>
        </w:rPr>
        <w:t>A</w:t>
      </w:r>
      <w:r w:rsidR="00291781">
        <w:rPr>
          <w:b/>
        </w:rPr>
        <w:t>NNEX</w:t>
      </w:r>
      <w:r w:rsidRPr="002568F0">
        <w:rPr>
          <w:b/>
        </w:rPr>
        <w:t xml:space="preserve"> 2 – AWARD CRITERIA to Call for </w:t>
      </w:r>
      <w:r w:rsidR="006D541E">
        <w:rPr>
          <w:b/>
        </w:rPr>
        <w:t>Service</w:t>
      </w:r>
      <w:r w:rsidR="006D541E" w:rsidRPr="002568F0">
        <w:rPr>
          <w:b/>
        </w:rPr>
        <w:t xml:space="preserve"> </w:t>
      </w:r>
      <w:r w:rsidRPr="002568F0">
        <w:rPr>
          <w:b/>
        </w:rPr>
        <w:t xml:space="preserve">No. </w:t>
      </w:r>
      <w:r w:rsidR="006D541E">
        <w:rPr>
          <w:b/>
        </w:rPr>
        <w:t>MDB/001/2019</w:t>
      </w:r>
    </w:p>
    <w:p w14:paraId="38A79858" w14:textId="77777777" w:rsidR="005537E8" w:rsidRDefault="005537E8" w:rsidP="005537E8"/>
    <w:tbl>
      <w:tblPr>
        <w:tblStyle w:val="TableGrid"/>
        <w:tblW w:w="0" w:type="auto"/>
        <w:tblLook w:val="04A0" w:firstRow="1" w:lastRow="0" w:firstColumn="1" w:lastColumn="0" w:noHBand="0" w:noVBand="1"/>
      </w:tblPr>
      <w:tblGrid>
        <w:gridCol w:w="988"/>
        <w:gridCol w:w="6237"/>
        <w:gridCol w:w="1701"/>
      </w:tblGrid>
      <w:tr w:rsidR="005537E8" w14:paraId="64C22046" w14:textId="77777777" w:rsidTr="00653CA7">
        <w:trPr>
          <w:trHeight w:val="597"/>
        </w:trPr>
        <w:tc>
          <w:tcPr>
            <w:tcW w:w="7225" w:type="dxa"/>
            <w:gridSpan w:val="2"/>
            <w:vMerge w:val="restart"/>
            <w:shd w:val="clear" w:color="auto" w:fill="F2F2F2" w:themeFill="background1" w:themeFillShade="F2"/>
          </w:tcPr>
          <w:p w14:paraId="108C3D3E" w14:textId="7399512E" w:rsidR="005537E8" w:rsidRPr="00653CA7" w:rsidRDefault="005537E8" w:rsidP="00D90932">
            <w:pPr>
              <w:pStyle w:val="ListParagraph"/>
              <w:numPr>
                <w:ilvl w:val="0"/>
                <w:numId w:val="42"/>
              </w:numPr>
              <w:spacing w:before="120" w:after="80"/>
              <w:ind w:left="714" w:hanging="357"/>
              <w:contextualSpacing w:val="0"/>
              <w:rPr>
                <w:b/>
              </w:rPr>
            </w:pPr>
            <w:r w:rsidRPr="00653CA7">
              <w:rPr>
                <w:b/>
              </w:rPr>
              <w:t xml:space="preserve">AWARD CRITERIA  </w:t>
            </w:r>
          </w:p>
          <w:p w14:paraId="6F161BC2" w14:textId="3018EF9B" w:rsidR="005537E8" w:rsidRDefault="005537E8" w:rsidP="008B382C">
            <w:pPr>
              <w:spacing w:before="80" w:after="120"/>
              <w:ind w:left="357"/>
              <w:jc w:val="both"/>
            </w:pPr>
            <w:r>
              <w:t>(</w:t>
            </w:r>
            <w:r w:rsidRPr="00364879">
              <w:rPr>
                <w:i/>
              </w:rPr>
              <w:t xml:space="preserve">refer to Appendix </w:t>
            </w:r>
            <w:r w:rsidR="008F1AC0">
              <w:rPr>
                <w:i/>
              </w:rPr>
              <w:t>1A</w:t>
            </w:r>
            <w:r w:rsidRPr="00364879">
              <w:rPr>
                <w:i/>
              </w:rPr>
              <w:t xml:space="preserve"> attached with the </w:t>
            </w:r>
            <w:r w:rsidR="00C36002">
              <w:rPr>
                <w:i/>
              </w:rPr>
              <w:t>Call for Service</w:t>
            </w:r>
            <w:r w:rsidRPr="00364879">
              <w:rPr>
                <w:i/>
              </w:rPr>
              <w:t xml:space="preserve"> for List of Documents and information to be provided related to the hereunder criteria).</w:t>
            </w:r>
          </w:p>
        </w:tc>
        <w:tc>
          <w:tcPr>
            <w:tcW w:w="1701" w:type="dxa"/>
            <w:shd w:val="clear" w:color="auto" w:fill="F2F2F2" w:themeFill="background1" w:themeFillShade="F2"/>
            <w:vAlign w:val="center"/>
          </w:tcPr>
          <w:p w14:paraId="3E33D012" w14:textId="77777777" w:rsidR="005537E8" w:rsidRPr="00653CA7" w:rsidRDefault="005537E8" w:rsidP="00653CA7">
            <w:pPr>
              <w:jc w:val="center"/>
              <w:rPr>
                <w:b/>
              </w:rPr>
            </w:pPr>
            <w:r w:rsidRPr="00653CA7">
              <w:rPr>
                <w:b/>
              </w:rPr>
              <w:t>Max. Score</w:t>
            </w:r>
          </w:p>
        </w:tc>
      </w:tr>
      <w:tr w:rsidR="005537E8" w14:paraId="0F96DC0B" w14:textId="77777777" w:rsidTr="00653CA7">
        <w:trPr>
          <w:trHeight w:val="84"/>
        </w:trPr>
        <w:tc>
          <w:tcPr>
            <w:tcW w:w="7225" w:type="dxa"/>
            <w:gridSpan w:val="2"/>
            <w:vMerge/>
            <w:shd w:val="clear" w:color="auto" w:fill="F2F2F2" w:themeFill="background1" w:themeFillShade="F2"/>
          </w:tcPr>
          <w:p w14:paraId="065D0030" w14:textId="77777777" w:rsidR="005537E8" w:rsidRDefault="005537E8" w:rsidP="0000225C"/>
        </w:tc>
        <w:tc>
          <w:tcPr>
            <w:tcW w:w="1701" w:type="dxa"/>
          </w:tcPr>
          <w:p w14:paraId="38DCF459" w14:textId="77777777" w:rsidR="005537E8" w:rsidRDefault="005537E8" w:rsidP="0000225C"/>
        </w:tc>
      </w:tr>
      <w:tr w:rsidR="005537E8" w14:paraId="1DAEF191" w14:textId="77777777" w:rsidTr="0000225C">
        <w:tc>
          <w:tcPr>
            <w:tcW w:w="988" w:type="dxa"/>
          </w:tcPr>
          <w:p w14:paraId="29844014" w14:textId="77777777" w:rsidR="005537E8" w:rsidRDefault="005537E8" w:rsidP="00D90932">
            <w:pPr>
              <w:spacing w:before="120"/>
              <w:jc w:val="center"/>
            </w:pPr>
            <w:r>
              <w:t>2.1</w:t>
            </w:r>
          </w:p>
        </w:tc>
        <w:tc>
          <w:tcPr>
            <w:tcW w:w="6237" w:type="dxa"/>
          </w:tcPr>
          <w:p w14:paraId="519B0DF1" w14:textId="06D80B93" w:rsidR="005537E8" w:rsidRDefault="005537E8" w:rsidP="00653CA7">
            <w:pPr>
              <w:spacing w:before="120"/>
              <w:jc w:val="both"/>
            </w:pPr>
            <w:r>
              <w:t xml:space="preserve">The </w:t>
            </w:r>
            <w:r w:rsidR="004E0CA9">
              <w:t xml:space="preserve">Financial Institution </w:t>
            </w:r>
            <w:r>
              <w:t xml:space="preserve">must prove to have the adequate capacity to implement the proposed </w:t>
            </w:r>
            <w:r w:rsidR="00375489">
              <w:t xml:space="preserve">FI </w:t>
            </w:r>
            <w:r>
              <w:t>by providing information on:</w:t>
            </w:r>
          </w:p>
          <w:p w14:paraId="4472A5C0" w14:textId="77777777" w:rsidR="005537E8" w:rsidRDefault="005537E8" w:rsidP="00D90932">
            <w:pPr>
              <w:pStyle w:val="ListParagraph"/>
              <w:numPr>
                <w:ilvl w:val="0"/>
                <w:numId w:val="31"/>
              </w:numPr>
              <w:spacing w:before="40"/>
              <w:contextualSpacing w:val="0"/>
              <w:jc w:val="both"/>
            </w:pPr>
            <w:r>
              <w:t>Its organisational structure and governance framework;</w:t>
            </w:r>
          </w:p>
          <w:p w14:paraId="7D4D905C" w14:textId="68CDC9EA" w:rsidR="005537E8" w:rsidRDefault="005537E8" w:rsidP="00D90932">
            <w:pPr>
              <w:pStyle w:val="ListParagraph"/>
              <w:numPr>
                <w:ilvl w:val="0"/>
                <w:numId w:val="31"/>
              </w:numPr>
              <w:spacing w:before="40"/>
              <w:contextualSpacing w:val="0"/>
              <w:jc w:val="both"/>
            </w:pPr>
            <w:r>
              <w:t xml:space="preserve">General quality of the project proposal and implementation strategy </w:t>
            </w:r>
            <w:r w:rsidR="004803FB">
              <w:t xml:space="preserve">as described in </w:t>
            </w:r>
            <w:r>
              <w:t xml:space="preserve">the </w:t>
            </w:r>
            <w:r w:rsidR="00C36002">
              <w:t>Call for Service</w:t>
            </w:r>
            <w:r>
              <w:t>;</w:t>
            </w:r>
          </w:p>
          <w:p w14:paraId="1839F5D1" w14:textId="0A473520" w:rsidR="005537E8" w:rsidRDefault="005537E8" w:rsidP="00D90932">
            <w:pPr>
              <w:pStyle w:val="ListParagraph"/>
              <w:numPr>
                <w:ilvl w:val="0"/>
                <w:numId w:val="31"/>
              </w:numPr>
              <w:spacing w:before="40"/>
              <w:ind w:left="714" w:hanging="357"/>
              <w:contextualSpacing w:val="0"/>
              <w:jc w:val="both"/>
            </w:pPr>
            <w:r>
              <w:t>Capability to build up the Portfolio of Eligible Loans</w:t>
            </w:r>
            <w:r w:rsidR="004803FB">
              <w:t>.</w:t>
            </w:r>
          </w:p>
        </w:tc>
        <w:tc>
          <w:tcPr>
            <w:tcW w:w="1701" w:type="dxa"/>
          </w:tcPr>
          <w:p w14:paraId="0297FEC3" w14:textId="6042D3DC" w:rsidR="005537E8" w:rsidRPr="005212AB" w:rsidRDefault="00AC29DD" w:rsidP="00543EC2">
            <w:pPr>
              <w:spacing w:before="120"/>
              <w:rPr>
                <w:b/>
              </w:rPr>
            </w:pPr>
            <w:r>
              <w:rPr>
                <w:b/>
              </w:rPr>
              <w:t>28</w:t>
            </w:r>
          </w:p>
          <w:p w14:paraId="6D5D521A" w14:textId="77777777" w:rsidR="00653CA7" w:rsidRDefault="00653CA7" w:rsidP="00653CA7">
            <w:pPr>
              <w:jc w:val="center"/>
            </w:pPr>
          </w:p>
          <w:p w14:paraId="72A2F5EE" w14:textId="042E0BDD" w:rsidR="005537E8" w:rsidRDefault="00AC29DD" w:rsidP="004E0FEB">
            <w:pPr>
              <w:spacing w:before="40"/>
              <w:jc w:val="center"/>
            </w:pPr>
            <w:r>
              <w:t>10</w:t>
            </w:r>
          </w:p>
          <w:p w14:paraId="70C1A285" w14:textId="3282BA7E" w:rsidR="005537E8" w:rsidRDefault="00AC29DD" w:rsidP="004E0FEB">
            <w:pPr>
              <w:spacing w:before="40" w:after="120"/>
              <w:jc w:val="center"/>
            </w:pPr>
            <w:r>
              <w:t>5</w:t>
            </w:r>
          </w:p>
          <w:p w14:paraId="291B76F2" w14:textId="2A9E70CA" w:rsidR="005537E8" w:rsidRPr="001F55BD" w:rsidRDefault="00AC29DD" w:rsidP="004E0FEB">
            <w:pPr>
              <w:spacing w:before="280" w:after="120"/>
              <w:jc w:val="center"/>
              <w:rPr>
                <w:strike/>
              </w:rPr>
            </w:pPr>
            <w:r>
              <w:t>13</w:t>
            </w:r>
          </w:p>
        </w:tc>
      </w:tr>
      <w:tr w:rsidR="005537E8" w14:paraId="60229BCC" w14:textId="77777777" w:rsidTr="00575DFB">
        <w:trPr>
          <w:trHeight w:val="2923"/>
        </w:trPr>
        <w:tc>
          <w:tcPr>
            <w:tcW w:w="988" w:type="dxa"/>
          </w:tcPr>
          <w:p w14:paraId="5B75FE5F" w14:textId="77777777" w:rsidR="005537E8" w:rsidRDefault="005537E8" w:rsidP="00D90932">
            <w:pPr>
              <w:spacing w:before="120"/>
              <w:jc w:val="center"/>
            </w:pPr>
            <w:r>
              <w:t>2.2</w:t>
            </w:r>
          </w:p>
        </w:tc>
        <w:tc>
          <w:tcPr>
            <w:tcW w:w="6237" w:type="dxa"/>
          </w:tcPr>
          <w:p w14:paraId="58AC7347" w14:textId="50D4D244" w:rsidR="005537E8" w:rsidRDefault="005537E8" w:rsidP="00D90932">
            <w:pPr>
              <w:spacing w:before="120" w:after="120"/>
              <w:jc w:val="both"/>
            </w:pPr>
            <w:r>
              <w:t xml:space="preserve">Pricing policy of the Financial Institution, to be charged under the FI, as submitted under the </w:t>
            </w:r>
            <w:r w:rsidR="00C36002">
              <w:t>Call for Service</w:t>
            </w:r>
            <w:r>
              <w:t>.</w:t>
            </w:r>
          </w:p>
          <w:p w14:paraId="6ACF52CB" w14:textId="6B029890" w:rsidR="005537E8" w:rsidRDefault="005537E8" w:rsidP="00D90932">
            <w:pPr>
              <w:pStyle w:val="ListParagraph"/>
              <w:numPr>
                <w:ilvl w:val="0"/>
                <w:numId w:val="32"/>
              </w:numPr>
              <w:spacing w:before="80" w:after="80"/>
              <w:ind w:left="714" w:hanging="357"/>
              <w:contextualSpacing w:val="0"/>
              <w:jc w:val="both"/>
            </w:pPr>
            <w:r>
              <w:t xml:space="preserve">Of which offer related to the proposed interest rates </w:t>
            </w:r>
            <w:r w:rsidR="006F701F">
              <w:t xml:space="preserve">as specified </w:t>
            </w:r>
            <w:r w:rsidRPr="00364879">
              <w:t xml:space="preserve">in Appendix </w:t>
            </w:r>
            <w:r w:rsidR="008F1AC0">
              <w:t>1A</w:t>
            </w:r>
            <w:r w:rsidRPr="00364879">
              <w:t xml:space="preserve"> </w:t>
            </w:r>
            <w:r w:rsidR="00CF2790">
              <w:t>T</w:t>
            </w:r>
            <w:r w:rsidRPr="00364879">
              <w:t>able 2</w:t>
            </w:r>
            <w:r w:rsidR="006F701F">
              <w:t xml:space="preserve"> a</w:t>
            </w:r>
            <w:r w:rsidR="008235F5">
              <w:t>n</w:t>
            </w:r>
            <w:r w:rsidR="006F701F">
              <w:t>d</w:t>
            </w:r>
            <w:r w:rsidR="008235F5">
              <w:t xml:space="preserve"> </w:t>
            </w:r>
            <w:r w:rsidR="006F701F">
              <w:t xml:space="preserve">according to </w:t>
            </w:r>
            <w:r w:rsidR="006F701F" w:rsidRPr="00364879">
              <w:t xml:space="preserve">the methodology explained </w:t>
            </w:r>
            <w:r w:rsidR="006F701F">
              <w:t xml:space="preserve">in </w:t>
            </w:r>
            <w:r w:rsidR="008235F5">
              <w:t>Note 1 below</w:t>
            </w:r>
            <w:r w:rsidR="006F701F">
              <w:t xml:space="preserve">. For the avoidance of doubt, </w:t>
            </w:r>
            <w:r w:rsidR="00E557B0">
              <w:t xml:space="preserve">the interest rate is the final effective rate. </w:t>
            </w:r>
          </w:p>
          <w:p w14:paraId="1AD3F33B" w14:textId="7628471F" w:rsidR="00A0429E" w:rsidRDefault="005537E8" w:rsidP="00D90932">
            <w:pPr>
              <w:pStyle w:val="ListParagraph"/>
              <w:numPr>
                <w:ilvl w:val="0"/>
                <w:numId w:val="32"/>
              </w:numPr>
              <w:spacing w:before="80" w:after="80"/>
              <w:contextualSpacing w:val="0"/>
              <w:jc w:val="both"/>
            </w:pPr>
            <w:r w:rsidRPr="00364879">
              <w:t xml:space="preserve">Of which offer related to the proposed fees – </w:t>
            </w:r>
            <w:r w:rsidR="00B06CE0">
              <w:t xml:space="preserve">as per </w:t>
            </w:r>
            <w:r w:rsidRPr="00364879">
              <w:t xml:space="preserve">Appendix </w:t>
            </w:r>
            <w:r w:rsidR="008F1AC0">
              <w:t>1A</w:t>
            </w:r>
            <w:r w:rsidRPr="00364879">
              <w:t xml:space="preserve"> </w:t>
            </w:r>
            <w:r w:rsidR="00CF2790">
              <w:t>T</w:t>
            </w:r>
            <w:r w:rsidRPr="00364879">
              <w:t xml:space="preserve">able </w:t>
            </w:r>
            <w:r w:rsidR="00AC29DD">
              <w:t>3</w:t>
            </w:r>
            <w:r w:rsidRPr="00364879">
              <w:t>.</w:t>
            </w:r>
          </w:p>
          <w:p w14:paraId="0117377C" w14:textId="32A40E8D" w:rsidR="00A0429E" w:rsidRDefault="00A0429E" w:rsidP="00D90932">
            <w:pPr>
              <w:spacing w:before="120" w:after="120"/>
              <w:jc w:val="both"/>
            </w:pPr>
            <w:r>
              <w:t xml:space="preserve">Higher points will be given to the </w:t>
            </w:r>
            <w:r w:rsidR="00B551C2">
              <w:t xml:space="preserve">applicants offering the </w:t>
            </w:r>
            <w:r>
              <w:t>highest benefit to the</w:t>
            </w:r>
            <w:r w:rsidR="004803FB">
              <w:t xml:space="preserve"> Eligible</w:t>
            </w:r>
            <w:r>
              <w:t xml:space="preserve"> Student.</w:t>
            </w:r>
          </w:p>
        </w:tc>
        <w:tc>
          <w:tcPr>
            <w:tcW w:w="1701" w:type="dxa"/>
          </w:tcPr>
          <w:p w14:paraId="72B838F4" w14:textId="1C2CDFAD" w:rsidR="005537E8" w:rsidRPr="005212AB" w:rsidRDefault="005537E8" w:rsidP="00B8336E">
            <w:pPr>
              <w:spacing w:before="120"/>
              <w:rPr>
                <w:b/>
              </w:rPr>
            </w:pPr>
            <w:r>
              <w:rPr>
                <w:b/>
              </w:rPr>
              <w:t>4</w:t>
            </w:r>
            <w:r w:rsidR="00AC29DD">
              <w:rPr>
                <w:b/>
              </w:rPr>
              <w:t>0</w:t>
            </w:r>
          </w:p>
          <w:p w14:paraId="206DEF97" w14:textId="77777777" w:rsidR="005537E8" w:rsidRDefault="005537E8" w:rsidP="0000225C"/>
          <w:p w14:paraId="28AE9C95" w14:textId="65F9ECEB" w:rsidR="005537E8" w:rsidRDefault="00AC29DD" w:rsidP="00B8336E">
            <w:pPr>
              <w:spacing w:before="120"/>
              <w:jc w:val="center"/>
            </w:pPr>
            <w:r>
              <w:t>25</w:t>
            </w:r>
          </w:p>
          <w:p w14:paraId="4DB9D71F" w14:textId="77777777" w:rsidR="005537E8" w:rsidRDefault="005537E8" w:rsidP="0000225C">
            <w:pPr>
              <w:jc w:val="center"/>
            </w:pPr>
          </w:p>
          <w:p w14:paraId="6D7E95AD" w14:textId="77777777" w:rsidR="005537E8" w:rsidRDefault="005537E8" w:rsidP="0000225C">
            <w:pPr>
              <w:jc w:val="center"/>
            </w:pPr>
          </w:p>
          <w:p w14:paraId="2C4110C0" w14:textId="4A8F53DC" w:rsidR="005537E8" w:rsidRDefault="00AC29DD" w:rsidP="00B8336E">
            <w:pPr>
              <w:spacing w:before="340"/>
              <w:jc w:val="center"/>
            </w:pPr>
            <w:r>
              <w:t>15</w:t>
            </w:r>
          </w:p>
          <w:p w14:paraId="572C55D0" w14:textId="77777777" w:rsidR="005537E8" w:rsidRDefault="005537E8" w:rsidP="0000225C">
            <w:pPr>
              <w:jc w:val="center"/>
            </w:pPr>
          </w:p>
          <w:p w14:paraId="0996D002" w14:textId="77910904" w:rsidR="00A0429E" w:rsidRDefault="00A0429E" w:rsidP="0000225C">
            <w:pPr>
              <w:jc w:val="center"/>
            </w:pPr>
          </w:p>
          <w:p w14:paraId="1C255B0C" w14:textId="6A838273" w:rsidR="005537E8" w:rsidRDefault="005537E8" w:rsidP="001F55BD"/>
        </w:tc>
      </w:tr>
      <w:tr w:rsidR="005537E8" w14:paraId="16CE8FF0" w14:textId="77777777" w:rsidTr="0000225C">
        <w:tc>
          <w:tcPr>
            <w:tcW w:w="988" w:type="dxa"/>
          </w:tcPr>
          <w:p w14:paraId="2ABFC30B" w14:textId="77777777" w:rsidR="005537E8" w:rsidRDefault="005537E8" w:rsidP="00D90932">
            <w:pPr>
              <w:spacing w:before="120" w:after="120"/>
              <w:jc w:val="center"/>
            </w:pPr>
            <w:r>
              <w:t>2.3</w:t>
            </w:r>
          </w:p>
        </w:tc>
        <w:tc>
          <w:tcPr>
            <w:tcW w:w="6237" w:type="dxa"/>
          </w:tcPr>
          <w:p w14:paraId="336568DC" w14:textId="1810D1CE" w:rsidR="005537E8" w:rsidRDefault="005537E8" w:rsidP="00D90932">
            <w:pPr>
              <w:spacing w:before="120" w:after="120"/>
              <w:jc w:val="both"/>
            </w:pPr>
            <w:r>
              <w:t xml:space="preserve">Detailed assessment of the Financial Institution’s financial standing with regards to capital adequacy, provisions, liquidity, other financial ratios, its capacity to service outstanding loan portfolio, the quality of its existing </w:t>
            </w:r>
            <w:r w:rsidR="004803FB">
              <w:t>s</w:t>
            </w:r>
            <w:r>
              <w:t>tudent portfolio and the rate of its non-performing loans, etc. Also, assessment of the Financial Institution’s organisational structure and corporate governance.</w:t>
            </w:r>
          </w:p>
        </w:tc>
        <w:tc>
          <w:tcPr>
            <w:tcW w:w="1701" w:type="dxa"/>
          </w:tcPr>
          <w:p w14:paraId="5474903E" w14:textId="77777777" w:rsidR="005537E8" w:rsidRPr="005212AB" w:rsidRDefault="005537E8" w:rsidP="00B8336E">
            <w:pPr>
              <w:spacing w:before="120"/>
              <w:rPr>
                <w:b/>
              </w:rPr>
            </w:pPr>
            <w:r>
              <w:rPr>
                <w:b/>
              </w:rPr>
              <w:t>9</w:t>
            </w:r>
          </w:p>
        </w:tc>
      </w:tr>
      <w:tr w:rsidR="005537E8" w14:paraId="4908516A" w14:textId="77777777" w:rsidTr="0000225C">
        <w:tc>
          <w:tcPr>
            <w:tcW w:w="988" w:type="dxa"/>
          </w:tcPr>
          <w:p w14:paraId="0D74B5DE" w14:textId="77777777" w:rsidR="005537E8" w:rsidRDefault="005537E8" w:rsidP="00D90932">
            <w:pPr>
              <w:spacing w:before="120" w:after="120"/>
              <w:jc w:val="center"/>
            </w:pPr>
            <w:r>
              <w:t>2.4</w:t>
            </w:r>
          </w:p>
        </w:tc>
        <w:tc>
          <w:tcPr>
            <w:tcW w:w="6237" w:type="dxa"/>
          </w:tcPr>
          <w:p w14:paraId="5171CAA8" w14:textId="77777777" w:rsidR="005537E8" w:rsidRDefault="005537E8" w:rsidP="00D90932">
            <w:pPr>
              <w:spacing w:before="120" w:after="120"/>
              <w:jc w:val="both"/>
            </w:pPr>
            <w:r>
              <w:t>The quality of key financial ratios (a preliminary assessment of the financial standing and credit worthiness of the Financial Institutions will be performed based on key financial ratios calculated from the last three years audited financial statements to be submitted with this call).</w:t>
            </w:r>
          </w:p>
        </w:tc>
        <w:tc>
          <w:tcPr>
            <w:tcW w:w="1701" w:type="dxa"/>
          </w:tcPr>
          <w:p w14:paraId="1578740A" w14:textId="77777777" w:rsidR="005537E8" w:rsidRPr="005212AB" w:rsidRDefault="005537E8" w:rsidP="00B8336E">
            <w:pPr>
              <w:spacing w:before="120"/>
              <w:rPr>
                <w:b/>
              </w:rPr>
            </w:pPr>
            <w:r w:rsidRPr="005212AB">
              <w:rPr>
                <w:b/>
              </w:rPr>
              <w:t>5</w:t>
            </w:r>
          </w:p>
        </w:tc>
      </w:tr>
      <w:tr w:rsidR="005537E8" w14:paraId="34EFC084" w14:textId="77777777" w:rsidTr="0000225C">
        <w:tc>
          <w:tcPr>
            <w:tcW w:w="988" w:type="dxa"/>
          </w:tcPr>
          <w:p w14:paraId="5F2828AC" w14:textId="77777777" w:rsidR="005537E8" w:rsidRDefault="005537E8" w:rsidP="00D90932">
            <w:pPr>
              <w:spacing w:before="120" w:after="120"/>
              <w:jc w:val="center"/>
            </w:pPr>
            <w:r>
              <w:t>2.5</w:t>
            </w:r>
          </w:p>
        </w:tc>
        <w:tc>
          <w:tcPr>
            <w:tcW w:w="6237" w:type="dxa"/>
          </w:tcPr>
          <w:p w14:paraId="22AD2E2B" w14:textId="4AB0561B" w:rsidR="005537E8" w:rsidRDefault="005537E8" w:rsidP="00D90932">
            <w:pPr>
              <w:spacing w:before="120" w:after="120"/>
              <w:jc w:val="both"/>
            </w:pPr>
            <w:r>
              <w:t>Assessment of the administrative capacity of the Financial Institution: Quality of IT systems, reporting mechanism, monitoring procedures and controls and assessment of overall ability of the Financial Institution’s to comply with FI’</w:t>
            </w:r>
            <w:r w:rsidR="004803FB">
              <w:t>s</w:t>
            </w:r>
            <w:r>
              <w:t xml:space="preserve"> reporting and monitoring requirements</w:t>
            </w:r>
            <w:r w:rsidR="004803FB">
              <w:t>.</w:t>
            </w:r>
          </w:p>
        </w:tc>
        <w:tc>
          <w:tcPr>
            <w:tcW w:w="1701" w:type="dxa"/>
          </w:tcPr>
          <w:p w14:paraId="68D0FFBC" w14:textId="77777777" w:rsidR="005537E8" w:rsidRPr="005212AB" w:rsidRDefault="005537E8" w:rsidP="00B8336E">
            <w:pPr>
              <w:spacing w:before="120"/>
              <w:rPr>
                <w:b/>
              </w:rPr>
            </w:pPr>
            <w:r>
              <w:rPr>
                <w:b/>
              </w:rPr>
              <w:t>8</w:t>
            </w:r>
          </w:p>
        </w:tc>
      </w:tr>
      <w:tr w:rsidR="005537E8" w14:paraId="6323331B" w14:textId="77777777" w:rsidTr="0000225C">
        <w:trPr>
          <w:trHeight w:val="1491"/>
        </w:trPr>
        <w:tc>
          <w:tcPr>
            <w:tcW w:w="988" w:type="dxa"/>
          </w:tcPr>
          <w:p w14:paraId="6CB94D09" w14:textId="77777777" w:rsidR="005537E8" w:rsidRDefault="005537E8" w:rsidP="00D90932">
            <w:pPr>
              <w:spacing w:before="120" w:after="120"/>
              <w:jc w:val="center"/>
            </w:pPr>
            <w:r>
              <w:t>2.6</w:t>
            </w:r>
          </w:p>
        </w:tc>
        <w:tc>
          <w:tcPr>
            <w:tcW w:w="6237" w:type="dxa"/>
          </w:tcPr>
          <w:p w14:paraId="2BD9A0A0" w14:textId="3B908A4C" w:rsidR="005537E8" w:rsidRDefault="005537E8" w:rsidP="00D90932">
            <w:pPr>
              <w:spacing w:before="120" w:after="120"/>
              <w:jc w:val="both"/>
            </w:pPr>
            <w:r>
              <w:t xml:space="preserve">Detailed assessment of the Financial Institution’s credit worthiness and risk management with regards to credit policy (internal procedures and guidelines), origination, risk assessment (rating/scoring), loan approval procedures, </w:t>
            </w:r>
            <w:r w:rsidR="00333DF8">
              <w:t>security</w:t>
            </w:r>
            <w:r>
              <w:t xml:space="preserve"> requirement, recovery and reporting procedures</w:t>
            </w:r>
            <w:r w:rsidR="004803FB">
              <w:t>,</w:t>
            </w:r>
            <w:r>
              <w:t xml:space="preserve"> etc.</w:t>
            </w:r>
          </w:p>
        </w:tc>
        <w:tc>
          <w:tcPr>
            <w:tcW w:w="1701" w:type="dxa"/>
          </w:tcPr>
          <w:p w14:paraId="56F3D445" w14:textId="523059E1" w:rsidR="005537E8" w:rsidRPr="005212AB" w:rsidRDefault="00A0429E" w:rsidP="00B8336E">
            <w:pPr>
              <w:spacing w:before="120"/>
              <w:rPr>
                <w:b/>
              </w:rPr>
            </w:pPr>
            <w:r>
              <w:rPr>
                <w:b/>
              </w:rPr>
              <w:t xml:space="preserve">10 </w:t>
            </w:r>
          </w:p>
        </w:tc>
      </w:tr>
    </w:tbl>
    <w:p w14:paraId="7AC6228D" w14:textId="77777777" w:rsidR="004803FB" w:rsidRDefault="004803FB" w:rsidP="005537E8">
      <w:pPr>
        <w:jc w:val="both"/>
        <w:rPr>
          <w:b/>
        </w:rPr>
      </w:pPr>
    </w:p>
    <w:p w14:paraId="01526192" w14:textId="331654F6" w:rsidR="00D9245C" w:rsidRPr="00D9245C" w:rsidRDefault="00D9245C" w:rsidP="005537E8">
      <w:pPr>
        <w:jc w:val="both"/>
        <w:rPr>
          <w:b/>
        </w:rPr>
      </w:pPr>
      <w:r w:rsidRPr="00D9245C">
        <w:rPr>
          <w:b/>
        </w:rPr>
        <w:t>EXPLANATORY NOTES RELATED TO THE EVALUATION OF THE AWARD CRITERIA</w:t>
      </w:r>
    </w:p>
    <w:p w14:paraId="550671A7" w14:textId="57A786CB" w:rsidR="005537E8" w:rsidRDefault="005537E8" w:rsidP="005537E8">
      <w:pPr>
        <w:jc w:val="both"/>
        <w:rPr>
          <w:u w:val="single"/>
        </w:rPr>
      </w:pPr>
    </w:p>
    <w:p w14:paraId="7342FF43" w14:textId="77777777" w:rsidR="005537E8" w:rsidRDefault="005537E8" w:rsidP="005537E8">
      <w:pPr>
        <w:jc w:val="both"/>
        <w:rPr>
          <w:u w:val="single"/>
        </w:rPr>
      </w:pPr>
    </w:p>
    <w:p w14:paraId="6C47A73F" w14:textId="77777777" w:rsidR="005537E8" w:rsidRPr="008E2950" w:rsidRDefault="005537E8" w:rsidP="005537E8">
      <w:pPr>
        <w:jc w:val="both"/>
      </w:pPr>
      <w:r w:rsidRPr="00291781">
        <w:rPr>
          <w:b/>
        </w:rPr>
        <w:t>Note 1 – Method of evaluatio</w:t>
      </w:r>
      <w:r w:rsidRPr="008E2950">
        <w:rPr>
          <w:b/>
        </w:rPr>
        <w:t>n</w:t>
      </w:r>
      <w:r w:rsidRPr="008E2950">
        <w:t>:</w:t>
      </w:r>
    </w:p>
    <w:p w14:paraId="13E80A1C" w14:textId="77777777" w:rsidR="005537E8" w:rsidRPr="0038147A" w:rsidRDefault="005537E8" w:rsidP="005537E8">
      <w:pPr>
        <w:jc w:val="both"/>
        <w:rPr>
          <w:sz w:val="16"/>
          <w:szCs w:val="16"/>
          <w:u w:val="single"/>
        </w:rPr>
      </w:pPr>
    </w:p>
    <w:p w14:paraId="59F8300B" w14:textId="40AB145F" w:rsidR="005537E8" w:rsidRDefault="005537E8" w:rsidP="00D90932">
      <w:pPr>
        <w:spacing w:after="120"/>
        <w:jc w:val="both"/>
      </w:pPr>
      <w:r>
        <w:rPr>
          <w:u w:val="single"/>
        </w:rPr>
        <w:t>First stage:</w:t>
      </w:r>
      <w:r>
        <w:t xml:space="preserve"> items 2.1 – 2.2 will be evaluated first. Applicants who score lower than 50 points will be automatically eliminated. From those Applicants who score 50 points or more, the two highest will qualify to the second evaluation phase.</w:t>
      </w:r>
    </w:p>
    <w:p w14:paraId="4702E61E" w14:textId="7E3949CA" w:rsidR="005537E8" w:rsidRPr="0038147A" w:rsidRDefault="005537E8" w:rsidP="00D90932">
      <w:pPr>
        <w:spacing w:after="120"/>
        <w:jc w:val="both"/>
        <w:rPr>
          <w:sz w:val="18"/>
          <w:szCs w:val="18"/>
        </w:rPr>
      </w:pPr>
      <w:r>
        <w:rPr>
          <w:u w:val="single"/>
        </w:rPr>
        <w:t>Second Stage:</w:t>
      </w:r>
      <w:r>
        <w:t xml:space="preserve"> items 2.3 – 2.6 will be subsequently evaluated. The MDB will select that Applicant with the highest score and initiate contractual negotiations accordingly. The MDB reserves the right to decide on the proposed allocation </w:t>
      </w:r>
      <w:proofErr w:type="gramStart"/>
      <w:r>
        <w:t>on the basis of</w:t>
      </w:r>
      <w:proofErr w:type="gramEnd"/>
      <w:r>
        <w:t xml:space="preserve"> the results of the assessment procedure.</w:t>
      </w:r>
    </w:p>
    <w:p w14:paraId="05359455" w14:textId="76D0BCF2" w:rsidR="005537E8" w:rsidRPr="0038147A" w:rsidRDefault="005537E8" w:rsidP="00D90932">
      <w:pPr>
        <w:spacing w:after="120"/>
        <w:jc w:val="both"/>
        <w:rPr>
          <w:sz w:val="18"/>
          <w:szCs w:val="18"/>
          <w:u w:val="single"/>
        </w:rPr>
      </w:pPr>
      <w:r>
        <w:t xml:space="preserve">To be noted that in the context of the </w:t>
      </w:r>
      <w:r w:rsidR="00A47805">
        <w:t xml:space="preserve">selection and </w:t>
      </w:r>
      <w:r>
        <w:t xml:space="preserve">due diligence process, </w:t>
      </w:r>
      <w:r w:rsidRPr="002568F0">
        <w:t xml:space="preserve">the MDB may </w:t>
      </w:r>
      <w:r w:rsidR="00A47805">
        <w:t xml:space="preserve">engage in </w:t>
      </w:r>
      <w:r w:rsidR="002E44DE">
        <w:t>n</w:t>
      </w:r>
      <w:r w:rsidRPr="002568F0">
        <w:t>egotiations with a view specifically to improv</w:t>
      </w:r>
      <w:r w:rsidR="002E44DE">
        <w:t>ing</w:t>
      </w:r>
      <w:r w:rsidRPr="002568F0">
        <w:t xml:space="preserve"> access to finance for </w:t>
      </w:r>
      <w:r w:rsidR="002E44DE">
        <w:t>Eligible Students</w:t>
      </w:r>
      <w:r>
        <w:t xml:space="preserve">. </w:t>
      </w:r>
    </w:p>
    <w:p w14:paraId="4BAF1455" w14:textId="0B45AA19" w:rsidR="005537E8" w:rsidRDefault="005537E8" w:rsidP="00D90932">
      <w:pPr>
        <w:spacing w:after="120"/>
        <w:jc w:val="both"/>
      </w:pPr>
      <w:r w:rsidRPr="0038147A">
        <w:rPr>
          <w:i/>
        </w:rPr>
        <w:t>Reserve list</w:t>
      </w:r>
      <w:r w:rsidRPr="008E2950">
        <w:rPr>
          <w:i/>
        </w:rPr>
        <w:t>:</w:t>
      </w:r>
      <w:r w:rsidR="008E2950" w:rsidRPr="008E2950">
        <w:t xml:space="preserve"> T</w:t>
      </w:r>
      <w:r w:rsidRPr="008E2950">
        <w:t>hose</w:t>
      </w:r>
      <w:r>
        <w:t xml:space="preserve"> Applicants who score 85 or more points but are not selected for contractual negotiations of the Operational Agreement will form a reserve list</w:t>
      </w:r>
      <w:r w:rsidR="00D90932">
        <w:t>.</w:t>
      </w:r>
      <w:r>
        <w:t xml:space="preserve"> </w:t>
      </w:r>
    </w:p>
    <w:p w14:paraId="5BE10045" w14:textId="7331F27D" w:rsidR="005537E8" w:rsidRDefault="005537E8" w:rsidP="00D90932">
      <w:pPr>
        <w:spacing w:after="120"/>
        <w:jc w:val="both"/>
      </w:pPr>
      <w:r>
        <w:t xml:space="preserve">In case more funding becomes available from the launch of the Call for </w:t>
      </w:r>
      <w:r w:rsidR="006D541E">
        <w:t xml:space="preserve">Service </w:t>
      </w:r>
      <w:r>
        <w:t>, the MDB has the discretion to consider either (i) higher allocation to the Applicants with highest overall scores (i.e. those initially selected for contractual negotiation of Operational Agreement) or (ii) initiating contractual negotiations with any of the Applicant(s) included in the reserve list, taking into consideration the results of the evaluation procedure and the ranking formed.</w:t>
      </w:r>
      <w:r w:rsidR="00874A56">
        <w:t xml:space="preserve"> </w:t>
      </w:r>
    </w:p>
    <w:p w14:paraId="133063DF" w14:textId="5E30A563" w:rsidR="0090604F" w:rsidRPr="00AC29DD" w:rsidRDefault="005537E8" w:rsidP="00D90932">
      <w:pPr>
        <w:spacing w:after="120"/>
        <w:jc w:val="both"/>
      </w:pPr>
      <w:r w:rsidRPr="00AC29DD">
        <w:t xml:space="preserve">If, for any reason, no Operational Agreement is signed with any of the initially selected Applicant(s), the MDB reserves the right to consider either (i) increasing the amount negotiated with the other Applicant(s) initially selected (in case more than one is selected) or (ii) approach the </w:t>
      </w:r>
      <w:r w:rsidR="0090604F" w:rsidRPr="00AC29DD">
        <w:t xml:space="preserve">next scored </w:t>
      </w:r>
      <w:r w:rsidRPr="00AC29DD">
        <w:t>Applicant inserted in the reserve list.</w:t>
      </w:r>
    </w:p>
    <w:p w14:paraId="61D44489" w14:textId="6C04AF9D" w:rsidR="005537E8" w:rsidRDefault="0090604F" w:rsidP="00D90932">
      <w:pPr>
        <w:spacing w:after="120"/>
        <w:jc w:val="both"/>
      </w:pPr>
      <w:r w:rsidRPr="00AC29DD">
        <w:t>If the highest scored applica</w:t>
      </w:r>
      <w:r w:rsidR="00AA3A5B" w:rsidRPr="00AC29DD">
        <w:t>nt/s indicate/s at signing of the Operational Agreement that it/they will not be able to build up the agreed portfolio volume, MDB will have the discretions to consider the next applicant/s on the list, based on the subsequent highest scoring.</w:t>
      </w:r>
    </w:p>
    <w:p w14:paraId="27562412" w14:textId="77777777" w:rsidR="005537E8" w:rsidRDefault="005537E8" w:rsidP="005537E8">
      <w:pPr>
        <w:jc w:val="both"/>
        <w:rPr>
          <w:u w:val="single"/>
        </w:rPr>
      </w:pPr>
    </w:p>
    <w:p w14:paraId="2EB29A63" w14:textId="77777777" w:rsidR="005537E8" w:rsidRPr="00291781" w:rsidRDefault="005537E8" w:rsidP="00DB5637">
      <w:pPr>
        <w:spacing w:before="120"/>
        <w:jc w:val="both"/>
        <w:rPr>
          <w:b/>
        </w:rPr>
      </w:pPr>
      <w:r w:rsidRPr="00291781">
        <w:rPr>
          <w:b/>
        </w:rPr>
        <w:t>Note 2 – Scoring of item 2.2</w:t>
      </w:r>
    </w:p>
    <w:p w14:paraId="77D9FEC7" w14:textId="427C8293" w:rsidR="005537E8" w:rsidRDefault="005537E8" w:rsidP="00DB5637">
      <w:pPr>
        <w:spacing w:before="120" w:after="240"/>
        <w:jc w:val="both"/>
      </w:pPr>
      <w:r>
        <w:t xml:space="preserve">All offers will be </w:t>
      </w:r>
      <w:r w:rsidR="00CF2790">
        <w:t>assessed</w:t>
      </w:r>
      <w:r>
        <w:t xml:space="preserve"> individually for each financial parameter.  </w:t>
      </w:r>
    </w:p>
    <w:p w14:paraId="01101547" w14:textId="77777777" w:rsidR="005537E8" w:rsidRPr="00291781" w:rsidRDefault="005537E8" w:rsidP="00DB5637">
      <w:pPr>
        <w:spacing w:after="120"/>
        <w:jc w:val="both"/>
        <w:rPr>
          <w:b/>
        </w:rPr>
      </w:pPr>
      <w:r w:rsidRPr="00291781">
        <w:rPr>
          <w:b/>
        </w:rPr>
        <w:t>Note 3 – scoring of items 2.1, 2.3-2.6</w:t>
      </w:r>
    </w:p>
    <w:p w14:paraId="610CF75E" w14:textId="348477AF" w:rsidR="005537E8" w:rsidRDefault="005537E8" w:rsidP="005537E8">
      <w:pPr>
        <w:jc w:val="both"/>
      </w:pPr>
      <w:r>
        <w:t>Score for item 2.1 will be awarded based on the initial qualitative analysis performed by the MDB. Score for items 2.3 – 2.6 will be awarded based on the detailed full diligence performed by the MDB.</w:t>
      </w:r>
    </w:p>
    <w:p w14:paraId="58F04798" w14:textId="14F775F4" w:rsidR="00446BBA" w:rsidRDefault="00446BBA" w:rsidP="005537E8">
      <w:pPr>
        <w:jc w:val="both"/>
      </w:pPr>
    </w:p>
    <w:p w14:paraId="7474BC0C" w14:textId="2963BF44" w:rsidR="00446BBA" w:rsidRDefault="00446BBA" w:rsidP="005537E8">
      <w:pPr>
        <w:jc w:val="both"/>
      </w:pPr>
      <w:r w:rsidRPr="00291781">
        <w:rPr>
          <w:b/>
        </w:rPr>
        <w:t xml:space="preserve">Note </w:t>
      </w:r>
      <w:r>
        <w:rPr>
          <w:b/>
        </w:rPr>
        <w:t>4</w:t>
      </w:r>
      <w:r w:rsidRPr="00291781">
        <w:rPr>
          <w:b/>
        </w:rPr>
        <w:t xml:space="preserve"> – </w:t>
      </w:r>
      <w:r>
        <w:rPr>
          <w:b/>
        </w:rPr>
        <w:t>Aggregate Results</w:t>
      </w:r>
    </w:p>
    <w:p w14:paraId="497AC24B" w14:textId="77777777" w:rsidR="005537E8" w:rsidRPr="0038147A" w:rsidRDefault="005537E8" w:rsidP="005537E8">
      <w:pPr>
        <w:jc w:val="both"/>
        <w:rPr>
          <w:sz w:val="14"/>
          <w:szCs w:val="14"/>
        </w:rPr>
      </w:pPr>
    </w:p>
    <w:p w14:paraId="057C80D4" w14:textId="77777777" w:rsidR="005537E8" w:rsidRDefault="005537E8" w:rsidP="00DB5637">
      <w:pPr>
        <w:spacing w:after="120"/>
        <w:jc w:val="both"/>
      </w:pPr>
      <w:r w:rsidRPr="0038147A">
        <w:rPr>
          <w:u w:val="single"/>
        </w:rPr>
        <w:t>Third Stage</w:t>
      </w:r>
      <w:r>
        <w:t>: The aggregate results will define the score awarded for this Award criterion, in accordance with the following principle:</w:t>
      </w:r>
    </w:p>
    <w:p w14:paraId="146706BB" w14:textId="77777777" w:rsidR="005537E8" w:rsidRDefault="005537E8" w:rsidP="00D90932">
      <w:pPr>
        <w:spacing w:before="40"/>
        <w:jc w:val="both"/>
      </w:pPr>
      <w:r>
        <w:t>Rank 1: Awarded full points</w:t>
      </w:r>
    </w:p>
    <w:p w14:paraId="4F79F2DF" w14:textId="77777777" w:rsidR="005537E8" w:rsidRDefault="005537E8" w:rsidP="00D90932">
      <w:pPr>
        <w:spacing w:before="40"/>
        <w:jc w:val="both"/>
      </w:pPr>
      <w:r>
        <w:t>Rank 2: Awarded 90% of the points</w:t>
      </w:r>
    </w:p>
    <w:p w14:paraId="14674508" w14:textId="77777777" w:rsidR="005537E8" w:rsidRDefault="005537E8" w:rsidP="00D90932">
      <w:pPr>
        <w:spacing w:before="40"/>
        <w:jc w:val="both"/>
      </w:pPr>
      <w:r>
        <w:t>Rank 3: Awarded 80% of the points</w:t>
      </w:r>
    </w:p>
    <w:p w14:paraId="58D00C96" w14:textId="77777777" w:rsidR="005537E8" w:rsidRDefault="005537E8" w:rsidP="00D90932">
      <w:pPr>
        <w:spacing w:before="40"/>
        <w:jc w:val="both"/>
      </w:pPr>
      <w:r>
        <w:t>Rank 4: Awarded 70% of the points</w:t>
      </w:r>
    </w:p>
    <w:p w14:paraId="6D42A691" w14:textId="098D2408" w:rsidR="005537E8" w:rsidRPr="00796636" w:rsidRDefault="005537E8" w:rsidP="00D90932">
      <w:pPr>
        <w:spacing w:before="120"/>
        <w:jc w:val="both"/>
      </w:pPr>
      <w:r>
        <w:t>Subsequent rankings will apply the same logic with 10% marks being deducted for each lower ranking accordingly.</w:t>
      </w:r>
      <w:r>
        <w:rPr>
          <w:b/>
        </w:rPr>
        <w:br w:type="page"/>
      </w:r>
    </w:p>
    <w:p w14:paraId="46EDCC0B" w14:textId="5F0B0DAA" w:rsidR="00D20123" w:rsidRPr="00691682" w:rsidRDefault="00D20123" w:rsidP="00D6250E">
      <w:pPr>
        <w:jc w:val="center"/>
        <w:rPr>
          <w:b/>
          <w:color w:val="FF0000"/>
        </w:rPr>
      </w:pPr>
      <w:r w:rsidRPr="00691682">
        <w:rPr>
          <w:b/>
        </w:rPr>
        <w:t>APPENDIX 1</w:t>
      </w:r>
      <w:r w:rsidR="00973199" w:rsidRPr="00691682">
        <w:rPr>
          <w:b/>
        </w:rPr>
        <w:t xml:space="preserve"> - </w:t>
      </w:r>
      <w:r w:rsidRPr="00691682">
        <w:rPr>
          <w:b/>
        </w:rPr>
        <w:t xml:space="preserve">Call for </w:t>
      </w:r>
      <w:r w:rsidR="006D541E">
        <w:rPr>
          <w:b/>
        </w:rPr>
        <w:t>Service</w:t>
      </w:r>
      <w:r w:rsidR="006D541E" w:rsidRPr="00691682">
        <w:rPr>
          <w:b/>
        </w:rPr>
        <w:t xml:space="preserve"> </w:t>
      </w:r>
      <w:r w:rsidRPr="00691682">
        <w:rPr>
          <w:b/>
        </w:rPr>
        <w:t xml:space="preserve">No. </w:t>
      </w:r>
      <w:r w:rsidR="006D541E">
        <w:rPr>
          <w:b/>
        </w:rPr>
        <w:t>MDB/001/2019</w:t>
      </w:r>
    </w:p>
    <w:p w14:paraId="2BB99DA3" w14:textId="77777777" w:rsidR="00D20123" w:rsidRDefault="00D20123" w:rsidP="00D20123">
      <w:pPr>
        <w:jc w:val="center"/>
      </w:pPr>
    </w:p>
    <w:p w14:paraId="0AE12F50" w14:textId="77777777" w:rsidR="00D20123" w:rsidRDefault="00D20123" w:rsidP="00D6250E">
      <w:pPr>
        <w:jc w:val="both"/>
      </w:pPr>
      <w:r>
        <w:t>To:</w:t>
      </w:r>
    </w:p>
    <w:p w14:paraId="7BE0D345" w14:textId="77777777" w:rsidR="00D20123" w:rsidRDefault="00D20123" w:rsidP="00D6250E">
      <w:pPr>
        <w:jc w:val="both"/>
      </w:pPr>
    </w:p>
    <w:p w14:paraId="7B15FBA5" w14:textId="77777777" w:rsidR="00D20123" w:rsidRDefault="00D20123" w:rsidP="00D6250E">
      <w:pPr>
        <w:jc w:val="both"/>
      </w:pPr>
    </w:p>
    <w:p w14:paraId="31ACA7F4" w14:textId="4618100B" w:rsidR="00D20123" w:rsidRPr="00B80354" w:rsidRDefault="00C36002" w:rsidP="00D6250E">
      <w:pPr>
        <w:jc w:val="both"/>
        <w:rPr>
          <w:b/>
        </w:rPr>
      </w:pPr>
      <w:r w:rsidRPr="00B80354">
        <w:rPr>
          <w:b/>
        </w:rPr>
        <w:t>CALL FOR SERVICE</w:t>
      </w:r>
    </w:p>
    <w:p w14:paraId="47B403B9" w14:textId="77777777" w:rsidR="00D20123" w:rsidRDefault="00D20123" w:rsidP="00D6250E">
      <w:pPr>
        <w:jc w:val="both"/>
      </w:pPr>
    </w:p>
    <w:p w14:paraId="5FFFA001" w14:textId="53D16CF9" w:rsidR="00D20123" w:rsidRDefault="00D20123" w:rsidP="00D6250E">
      <w:pPr>
        <w:jc w:val="both"/>
      </w:pPr>
      <w:r>
        <w:t xml:space="preserve">Call for </w:t>
      </w:r>
      <w:r w:rsidR="006D541E">
        <w:t xml:space="preserve">Service </w:t>
      </w:r>
      <w:r>
        <w:t>no.</w:t>
      </w:r>
      <w:r w:rsidR="006D541E">
        <w:t xml:space="preserve"> MDB/001/2019</w:t>
      </w:r>
    </w:p>
    <w:p w14:paraId="27A7B872" w14:textId="77777777" w:rsidR="00D6250E" w:rsidRDefault="00D6250E" w:rsidP="00D6250E">
      <w:pPr>
        <w:jc w:val="both"/>
      </w:pPr>
    </w:p>
    <w:p w14:paraId="6CAA315C" w14:textId="244E6BEB" w:rsidR="00D20123" w:rsidRDefault="00D20123" w:rsidP="00D6250E">
      <w:pPr>
        <w:jc w:val="both"/>
      </w:pPr>
      <w:r>
        <w:t xml:space="preserve">Deadline for the submission of the </w:t>
      </w:r>
      <w:r w:rsidR="00C36002">
        <w:t>Call for Service</w:t>
      </w:r>
      <w:r>
        <w:t>:</w:t>
      </w:r>
    </w:p>
    <w:p w14:paraId="32674F44" w14:textId="77777777" w:rsidR="00D6250E" w:rsidRDefault="00D6250E" w:rsidP="00D6250E">
      <w:pPr>
        <w:jc w:val="both"/>
      </w:pPr>
    </w:p>
    <w:p w14:paraId="58347EF2" w14:textId="259DC672" w:rsidR="00D20123" w:rsidRDefault="00C36002" w:rsidP="00D6250E">
      <w:pPr>
        <w:jc w:val="both"/>
      </w:pPr>
      <w:r>
        <w:t>Call for Service</w:t>
      </w:r>
      <w:r w:rsidR="00D20123">
        <w:t xml:space="preserve"> for</w:t>
      </w:r>
      <w:r w:rsidR="00E0168E">
        <w:t xml:space="preserve"> </w:t>
      </w:r>
      <w:r w:rsidR="00375489">
        <w:t xml:space="preserve">FI </w:t>
      </w:r>
      <w:r w:rsidR="00E0168E">
        <w:t>composing of a</w:t>
      </w:r>
      <w:r w:rsidR="00D20123">
        <w:t xml:space="preserve"> Portfolio Guarantee</w:t>
      </w:r>
      <w:r w:rsidR="00E0168E">
        <w:t xml:space="preserve"> of maximum </w:t>
      </w:r>
      <w:r w:rsidR="008421C5">
        <w:t xml:space="preserve">EUR </w:t>
      </w:r>
      <w:r w:rsidR="00E0168E">
        <w:t>1</w:t>
      </w:r>
      <w:r w:rsidR="008421C5">
        <w:t>.</w:t>
      </w:r>
      <w:r w:rsidR="00E0168E">
        <w:t>1</w:t>
      </w:r>
      <w:r w:rsidR="008421C5">
        <w:t xml:space="preserve"> million </w:t>
      </w:r>
      <w:r w:rsidR="00E0168E">
        <w:t>representing 80% guarantee rate with a cap rate of 25% at Portfolio Volume</w:t>
      </w:r>
      <w:r w:rsidR="00D20123">
        <w:t xml:space="preserve"> </w:t>
      </w:r>
      <w:r w:rsidR="00E0168E">
        <w:t xml:space="preserve">together </w:t>
      </w:r>
      <w:r w:rsidR="00375489">
        <w:t>with a</w:t>
      </w:r>
      <w:r w:rsidR="00E0168E">
        <w:t xml:space="preserve"> maximum amount of </w:t>
      </w:r>
      <w:r w:rsidR="008421C5">
        <w:t xml:space="preserve">EUR </w:t>
      </w:r>
      <w:r w:rsidR="00E0168E">
        <w:t xml:space="preserve">900,000 in </w:t>
      </w:r>
      <w:r w:rsidR="00D20123">
        <w:t xml:space="preserve">Interest </w:t>
      </w:r>
      <w:r w:rsidR="00973199">
        <w:t>Rate Subsidy</w:t>
      </w:r>
      <w:r w:rsidR="008421C5">
        <w:rPr>
          <w:strike/>
        </w:rPr>
        <w:t>.</w:t>
      </w:r>
      <w:r w:rsidR="00796636">
        <w:t xml:space="preserve"> </w:t>
      </w:r>
    </w:p>
    <w:p w14:paraId="1010B9FA" w14:textId="77777777" w:rsidR="00D6250E" w:rsidRDefault="00D6250E" w:rsidP="00D6250E">
      <w:pPr>
        <w:jc w:val="both"/>
      </w:pPr>
    </w:p>
    <w:p w14:paraId="70F6F2BC" w14:textId="0D9C796D" w:rsidR="00D20123" w:rsidRDefault="00D20123" w:rsidP="00D6250E">
      <w:pPr>
        <w:jc w:val="both"/>
      </w:pPr>
      <w:r>
        <w:t xml:space="preserve">Applicant submitting the </w:t>
      </w:r>
      <w:r w:rsidR="00C36002">
        <w:t>Call for Service</w:t>
      </w:r>
      <w:r>
        <w:tab/>
        <w:t>______________</w:t>
      </w:r>
      <w:r w:rsidR="00CC5574">
        <w:softHyphen/>
      </w:r>
      <w:r w:rsidR="00CC5574">
        <w:softHyphen/>
      </w:r>
      <w:r w:rsidR="00CC5574">
        <w:softHyphen/>
        <w:t>__________</w:t>
      </w:r>
      <w:r>
        <w:t>________/_________</w:t>
      </w:r>
    </w:p>
    <w:p w14:paraId="4CCB1AEB" w14:textId="67BD623A" w:rsidR="00D20123" w:rsidRDefault="00D20123" w:rsidP="00D6250E">
      <w:pPr>
        <w:jc w:val="both"/>
      </w:pPr>
      <w:r>
        <w:tab/>
      </w:r>
      <w:r>
        <w:tab/>
      </w:r>
      <w:r>
        <w:tab/>
      </w:r>
      <w:r>
        <w:tab/>
      </w:r>
      <w:r>
        <w:tab/>
      </w:r>
      <w:r w:rsidR="0057239C">
        <w:t xml:space="preserve">     </w:t>
      </w:r>
      <w:r w:rsidR="00CC5574">
        <w:t xml:space="preserve">                 (</w:t>
      </w:r>
      <w:r>
        <w:t>Bank name</w:t>
      </w:r>
      <w:r w:rsidR="00CC5574">
        <w:t xml:space="preserve"> /</w:t>
      </w:r>
      <w:r>
        <w:t xml:space="preserve"> Registration number)</w:t>
      </w:r>
    </w:p>
    <w:p w14:paraId="26D496B1" w14:textId="77777777" w:rsidR="00D20123" w:rsidRDefault="00D20123" w:rsidP="00D6250E">
      <w:pPr>
        <w:jc w:val="both"/>
      </w:pPr>
    </w:p>
    <w:p w14:paraId="44A5DEAA" w14:textId="77777777" w:rsidR="00D20123" w:rsidRDefault="00D20123" w:rsidP="00D6250E">
      <w:pPr>
        <w:jc w:val="both"/>
      </w:pPr>
      <w:r>
        <w:t>Dear Sir or Madam,</w:t>
      </w:r>
    </w:p>
    <w:p w14:paraId="2A5BFBD9" w14:textId="77777777" w:rsidR="00D20123" w:rsidRDefault="00D20123" w:rsidP="00D6250E">
      <w:pPr>
        <w:jc w:val="both"/>
      </w:pPr>
    </w:p>
    <w:p w14:paraId="25D97060" w14:textId="78840063" w:rsidR="00D20123" w:rsidRDefault="00D20123" w:rsidP="00D6250E">
      <w:pPr>
        <w:jc w:val="both"/>
      </w:pPr>
      <w:r>
        <w:t xml:space="preserve">Herewith we are submitting our </w:t>
      </w:r>
      <w:r w:rsidR="00C36002">
        <w:t>Call for Service</w:t>
      </w:r>
      <w:r>
        <w:t xml:space="preserve"> on behalf of (</w:t>
      </w:r>
      <w:r>
        <w:rPr>
          <w:i/>
        </w:rPr>
        <w:t>Applicant</w:t>
      </w:r>
      <w:r w:rsidR="00D6250E">
        <w:rPr>
          <w:i/>
        </w:rPr>
        <w:t xml:space="preserve"> </w:t>
      </w:r>
      <w:r w:rsidR="000B0627">
        <w:rPr>
          <w:i/>
        </w:rPr>
        <w:t>name) _</w:t>
      </w:r>
      <w:r w:rsidR="00D6250E">
        <w:rPr>
          <w:i/>
        </w:rPr>
        <w:t>_________________</w:t>
      </w:r>
      <w:r>
        <w:rPr>
          <w:i/>
        </w:rPr>
        <w:t xml:space="preserve"> </w:t>
      </w:r>
      <w:r>
        <w:t xml:space="preserve">in response to the Call for </w:t>
      </w:r>
      <w:r w:rsidR="006D541E">
        <w:t>Service</w:t>
      </w:r>
      <w:r>
        <w:t xml:space="preserve"> no. </w:t>
      </w:r>
      <w:r w:rsidR="00D6250E">
        <w:softHyphen/>
      </w:r>
      <w:r w:rsidR="006D541E">
        <w:t xml:space="preserve">MDB/001/2019 </w:t>
      </w:r>
      <w:r>
        <w:t xml:space="preserve">in the framework of </w:t>
      </w:r>
      <w:r w:rsidR="00D6250E" w:rsidRPr="00691682">
        <w:t xml:space="preserve">the </w:t>
      </w:r>
      <w:r w:rsidRPr="00691682">
        <w:t>FSMA i</w:t>
      </w:r>
      <w:r>
        <w:t xml:space="preserve">nitiative implemented by </w:t>
      </w:r>
      <w:r w:rsidR="00D6250E">
        <w:t xml:space="preserve">the </w:t>
      </w:r>
      <w:r>
        <w:t xml:space="preserve">MDB.  Capitalised expressions utilised herein shall have the meaning attributed to them in the above-mentioned Call for </w:t>
      </w:r>
      <w:r w:rsidR="004231D3">
        <w:t>Service</w:t>
      </w:r>
      <w:r>
        <w:t>.</w:t>
      </w:r>
    </w:p>
    <w:p w14:paraId="21B8E3BA" w14:textId="77777777" w:rsidR="00D20123" w:rsidRDefault="00D20123" w:rsidP="00D6250E">
      <w:pPr>
        <w:jc w:val="both"/>
      </w:pPr>
    </w:p>
    <w:p w14:paraId="4D0509AC" w14:textId="481ECACE" w:rsidR="00D20123" w:rsidRDefault="00D20123" w:rsidP="00D6250E">
      <w:pPr>
        <w:jc w:val="both"/>
      </w:pPr>
      <w:r>
        <w:t>The undersigned duly authorised to represent the (</w:t>
      </w:r>
      <w:r>
        <w:rPr>
          <w:i/>
        </w:rPr>
        <w:t>Applicant</w:t>
      </w:r>
      <w:r w:rsidR="00D6250E">
        <w:rPr>
          <w:i/>
        </w:rPr>
        <w:t xml:space="preserve"> </w:t>
      </w:r>
      <w:r w:rsidR="006D541E">
        <w:rPr>
          <w:i/>
        </w:rPr>
        <w:t>name) _</w:t>
      </w:r>
      <w:r w:rsidR="00D6250E">
        <w:rPr>
          <w:i/>
        </w:rPr>
        <w:t>________________</w:t>
      </w:r>
      <w:r>
        <w:t xml:space="preserve"> is not in one of the situations which would exclude it from taking part in this Call for </w:t>
      </w:r>
      <w:r w:rsidR="004231D3">
        <w:t>Service</w:t>
      </w:r>
      <w:r>
        <w:t xml:space="preserve"> listed out in Appendices 4 and 5 to this</w:t>
      </w:r>
      <w:r w:rsidR="00D6250E">
        <w:t xml:space="preserve"> </w:t>
      </w:r>
      <w:r w:rsidR="004231D3">
        <w:t>Call for Service</w:t>
      </w:r>
      <w:r>
        <w:t>. The undersigned shall, upon request, provide all evidence to that extent.</w:t>
      </w:r>
    </w:p>
    <w:p w14:paraId="5550E0AD" w14:textId="77777777" w:rsidR="00D20123" w:rsidRDefault="00D20123" w:rsidP="00D6250E">
      <w:pPr>
        <w:jc w:val="both"/>
      </w:pPr>
    </w:p>
    <w:p w14:paraId="1AC83AD8" w14:textId="77777777" w:rsidR="00D20123" w:rsidRDefault="00D20123" w:rsidP="00D6250E">
      <w:pPr>
        <w:jc w:val="both"/>
      </w:pPr>
      <w:r>
        <w:t>Yours sincerely</w:t>
      </w:r>
    </w:p>
    <w:p w14:paraId="0E863CD3" w14:textId="77777777" w:rsidR="00D20123" w:rsidRDefault="00D20123" w:rsidP="00D6250E">
      <w:pPr>
        <w:jc w:val="both"/>
      </w:pPr>
    </w:p>
    <w:p w14:paraId="4ED821A6" w14:textId="77777777" w:rsidR="00D20123" w:rsidRDefault="00D20123" w:rsidP="00D6250E">
      <w:pPr>
        <w:jc w:val="both"/>
      </w:pPr>
    </w:p>
    <w:p w14:paraId="1600BADE" w14:textId="4145396C" w:rsidR="00D20123" w:rsidRDefault="00D20123" w:rsidP="00D6250E">
      <w:pPr>
        <w:jc w:val="both"/>
      </w:pPr>
    </w:p>
    <w:p w14:paraId="548FC395" w14:textId="3E009594" w:rsidR="00D20123" w:rsidRDefault="00D20123" w:rsidP="00D6250E">
      <w:pPr>
        <w:jc w:val="both"/>
      </w:pPr>
      <w:r>
        <w:t>Signature (s)</w:t>
      </w:r>
      <w:r>
        <w:tab/>
      </w:r>
      <w:r>
        <w:tab/>
      </w:r>
      <w:r>
        <w:tab/>
      </w:r>
      <w:r>
        <w:tab/>
      </w:r>
      <w:r>
        <w:tab/>
      </w:r>
      <w:r>
        <w:tab/>
      </w:r>
      <w:r w:rsidR="00651982">
        <w:t xml:space="preserve">              </w:t>
      </w:r>
      <w:r>
        <w:t>Stamp of the Applicant</w:t>
      </w:r>
    </w:p>
    <w:p w14:paraId="67988BCC" w14:textId="77777777" w:rsidR="00651982" w:rsidRDefault="00651982" w:rsidP="00D6250E">
      <w:pPr>
        <w:jc w:val="both"/>
      </w:pPr>
    </w:p>
    <w:p w14:paraId="2A4F02A6" w14:textId="000554F3" w:rsidR="00D20123" w:rsidRDefault="00D20123" w:rsidP="00D6250E">
      <w:pPr>
        <w:jc w:val="both"/>
      </w:pPr>
      <w:r>
        <w:t xml:space="preserve">Name and position in </w:t>
      </w:r>
      <w:r w:rsidR="00651982">
        <w:t>c</w:t>
      </w:r>
      <w:r>
        <w:t>apitals:</w:t>
      </w:r>
    </w:p>
    <w:p w14:paraId="3345612C" w14:textId="77777777" w:rsidR="00651982" w:rsidRDefault="00651982" w:rsidP="00D6250E">
      <w:pPr>
        <w:jc w:val="both"/>
      </w:pPr>
    </w:p>
    <w:p w14:paraId="342553C7" w14:textId="77347A51" w:rsidR="00D20123" w:rsidRDefault="00D20123" w:rsidP="00D6250E">
      <w:pPr>
        <w:jc w:val="both"/>
      </w:pPr>
      <w:r>
        <w:t xml:space="preserve">Applicant’s </w:t>
      </w:r>
      <w:r w:rsidR="00651982">
        <w:t>n</w:t>
      </w:r>
      <w:r>
        <w:t>ame:</w:t>
      </w:r>
    </w:p>
    <w:p w14:paraId="571666B4" w14:textId="77777777" w:rsidR="00651982" w:rsidRDefault="00651982" w:rsidP="00D6250E">
      <w:pPr>
        <w:jc w:val="both"/>
      </w:pPr>
    </w:p>
    <w:p w14:paraId="170BB8FC" w14:textId="58873C05" w:rsidR="00D20123" w:rsidRPr="001C329D" w:rsidRDefault="00651982" w:rsidP="00D6250E">
      <w:pPr>
        <w:jc w:val="both"/>
        <w:rPr>
          <w:i/>
        </w:rPr>
      </w:pPr>
      <w:r>
        <w:t>Address</w:t>
      </w:r>
      <w:r w:rsidR="00D20123">
        <w:t>:</w:t>
      </w:r>
      <w:r w:rsidR="00D20123">
        <w:tab/>
      </w:r>
      <w:r w:rsidR="00D20123">
        <w:tab/>
      </w:r>
      <w:r w:rsidR="00D20123">
        <w:tab/>
      </w:r>
      <w:r w:rsidR="00D20123">
        <w:tab/>
      </w:r>
      <w:r w:rsidR="00D20123">
        <w:tab/>
      </w:r>
      <w:r w:rsidR="00D20123">
        <w:tab/>
      </w:r>
      <w:r w:rsidR="00D20123">
        <w:tab/>
        <w:t>Date (</w:t>
      </w:r>
      <w:r w:rsidR="00D20123">
        <w:rPr>
          <w:i/>
        </w:rPr>
        <w:t>Day/month/year)</w:t>
      </w:r>
    </w:p>
    <w:p w14:paraId="37C45E29" w14:textId="77777777" w:rsidR="00D20123" w:rsidRDefault="00D20123" w:rsidP="00D6250E">
      <w:pPr>
        <w:jc w:val="both"/>
      </w:pPr>
      <w:r>
        <w:tab/>
      </w:r>
    </w:p>
    <w:p w14:paraId="035D10BB" w14:textId="77777777" w:rsidR="00D20123" w:rsidRDefault="00D20123" w:rsidP="00D6250E">
      <w:pPr>
        <w:jc w:val="both"/>
      </w:pPr>
    </w:p>
    <w:p w14:paraId="24579480" w14:textId="530FA023" w:rsidR="00D20123" w:rsidRDefault="00D20123" w:rsidP="00D6250E">
      <w:pPr>
        <w:jc w:val="both"/>
      </w:pPr>
      <w:r>
        <w:t>Appendi</w:t>
      </w:r>
      <w:r w:rsidR="00487E92">
        <w:t>c</w:t>
      </w:r>
      <w:r>
        <w:t>es:</w:t>
      </w:r>
    </w:p>
    <w:p w14:paraId="520E2D22" w14:textId="2BB8D989" w:rsidR="00D20123" w:rsidRDefault="00D20123" w:rsidP="00DB5637">
      <w:pPr>
        <w:spacing w:before="120"/>
        <w:jc w:val="both"/>
      </w:pPr>
      <w:r>
        <w:t xml:space="preserve">Appendix </w:t>
      </w:r>
      <w:r w:rsidR="008F1AC0">
        <w:t>1A</w:t>
      </w:r>
      <w:r w:rsidR="00DB5637">
        <w:t xml:space="preserve">     </w:t>
      </w:r>
      <w:r>
        <w:t xml:space="preserve"> List of Documents attached</w:t>
      </w:r>
    </w:p>
    <w:p w14:paraId="04E650AA" w14:textId="0ECEB9C1" w:rsidR="00D20123" w:rsidRDefault="00D20123" w:rsidP="00DB5637">
      <w:pPr>
        <w:spacing w:before="120"/>
        <w:jc w:val="both"/>
      </w:pPr>
      <w:r>
        <w:t xml:space="preserve">Appendix </w:t>
      </w:r>
      <w:r w:rsidR="008F1AC0">
        <w:t>1B</w:t>
      </w:r>
      <w:r>
        <w:t xml:space="preserve"> </w:t>
      </w:r>
      <w:r w:rsidR="00DB5637">
        <w:t xml:space="preserve">     </w:t>
      </w:r>
      <w:r>
        <w:t>Declaration of Absence of Conflict of Interest</w:t>
      </w:r>
    </w:p>
    <w:p w14:paraId="12B13F09" w14:textId="074C225B" w:rsidR="00D20123" w:rsidRDefault="00D20123" w:rsidP="00DB5637">
      <w:pPr>
        <w:spacing w:before="120"/>
        <w:jc w:val="both"/>
      </w:pPr>
      <w:r>
        <w:t xml:space="preserve">Appendix </w:t>
      </w:r>
      <w:r w:rsidR="008F1AC0">
        <w:t>1C</w:t>
      </w:r>
      <w:r>
        <w:t xml:space="preserve"> </w:t>
      </w:r>
      <w:r w:rsidR="00DB5637">
        <w:t xml:space="preserve">     </w:t>
      </w:r>
      <w:r w:rsidR="008F1AC0">
        <w:t>S</w:t>
      </w:r>
      <w:r>
        <w:t>tatement Regarding Situation of Exclusion 1</w:t>
      </w:r>
    </w:p>
    <w:p w14:paraId="34CBF55E" w14:textId="4C4ED4F2" w:rsidR="00D20123" w:rsidRDefault="00D20123" w:rsidP="00DB5637">
      <w:pPr>
        <w:spacing w:before="120"/>
        <w:ind w:left="1418" w:hanging="1418"/>
      </w:pPr>
      <w:r>
        <w:t>Appendix</w:t>
      </w:r>
      <w:r w:rsidR="00291781">
        <w:t xml:space="preserve"> </w:t>
      </w:r>
      <w:r w:rsidR="008F1AC0">
        <w:t>1D</w:t>
      </w:r>
      <w:r w:rsidR="00DB5637">
        <w:t xml:space="preserve">      </w:t>
      </w:r>
      <w:r>
        <w:t>Statement Regarding Situation of Exclusion 2: Declaration of compliance with Community and National Rules and Policies.</w:t>
      </w:r>
    </w:p>
    <w:p w14:paraId="0F90DA5D" w14:textId="77777777" w:rsidR="00D20123" w:rsidRDefault="00D20123" w:rsidP="00DB5637">
      <w:pPr>
        <w:spacing w:before="120"/>
        <w:jc w:val="both"/>
      </w:pPr>
    </w:p>
    <w:p w14:paraId="4315D2A3" w14:textId="77777777" w:rsidR="00D20123" w:rsidRDefault="00D20123" w:rsidP="00D20123"/>
    <w:p w14:paraId="03B975E8" w14:textId="2E9C9AA1" w:rsidR="00D20123" w:rsidRPr="00691682" w:rsidRDefault="00487E92" w:rsidP="00796636">
      <w:pPr>
        <w:rPr>
          <w:b/>
        </w:rPr>
      </w:pPr>
      <w:r>
        <w:br w:type="page"/>
      </w:r>
      <w:r w:rsidR="00D20123" w:rsidRPr="00691682">
        <w:rPr>
          <w:b/>
        </w:rPr>
        <w:t>A</w:t>
      </w:r>
      <w:r w:rsidR="00691682">
        <w:rPr>
          <w:b/>
        </w:rPr>
        <w:t>PPENDIX</w:t>
      </w:r>
      <w:r w:rsidR="00D20123" w:rsidRPr="00691682">
        <w:rPr>
          <w:b/>
        </w:rPr>
        <w:t xml:space="preserve"> </w:t>
      </w:r>
      <w:r w:rsidR="005537E8">
        <w:rPr>
          <w:b/>
        </w:rPr>
        <w:t>1A</w:t>
      </w:r>
      <w:r w:rsidR="00D20123" w:rsidRPr="00691682">
        <w:rPr>
          <w:b/>
        </w:rPr>
        <w:t xml:space="preserve"> to the Call for </w:t>
      </w:r>
      <w:r w:rsidR="004231D3">
        <w:rPr>
          <w:b/>
        </w:rPr>
        <w:t>Service</w:t>
      </w:r>
      <w:r w:rsidR="00D20123" w:rsidRPr="00691682">
        <w:rPr>
          <w:b/>
        </w:rPr>
        <w:t xml:space="preserve"> No. </w:t>
      </w:r>
      <w:r w:rsidR="004231D3">
        <w:rPr>
          <w:b/>
        </w:rPr>
        <w:t>MDB/001/2019</w:t>
      </w:r>
    </w:p>
    <w:p w14:paraId="7CECFDB3" w14:textId="77777777" w:rsidR="00D20123" w:rsidRPr="00691682" w:rsidRDefault="00D20123" w:rsidP="00D20123">
      <w:pPr>
        <w:jc w:val="center"/>
        <w:rPr>
          <w:b/>
        </w:rPr>
      </w:pPr>
    </w:p>
    <w:p w14:paraId="2ACDB39D" w14:textId="77777777" w:rsidR="00D20123" w:rsidRDefault="00D20123" w:rsidP="00DB5637">
      <w:pPr>
        <w:spacing w:after="240"/>
        <w:jc w:val="center"/>
        <w:rPr>
          <w:b/>
        </w:rPr>
      </w:pPr>
      <w:r>
        <w:rPr>
          <w:b/>
        </w:rPr>
        <w:t>LIST OF DOCUMENTS TO BE SUBMITTED</w:t>
      </w:r>
    </w:p>
    <w:p w14:paraId="307063FB" w14:textId="48E4CFDB" w:rsidR="00D20123" w:rsidRDefault="00D20123" w:rsidP="00D20123">
      <w:pPr>
        <w:jc w:val="both"/>
      </w:pPr>
      <w:r>
        <w:t xml:space="preserve">The </w:t>
      </w:r>
      <w:r w:rsidR="004231D3">
        <w:t>Call for Service</w:t>
      </w:r>
      <w:r>
        <w:t xml:space="preserve"> by the Financial Institutions with </w:t>
      </w:r>
      <w:r w:rsidR="00691682">
        <w:t>b</w:t>
      </w:r>
      <w:r>
        <w:t>ranches in Malta and Gozo should include:</w:t>
      </w:r>
    </w:p>
    <w:p w14:paraId="62B854C5" w14:textId="77777777" w:rsidR="00D20123" w:rsidRDefault="00D20123" w:rsidP="00D20123">
      <w:pPr>
        <w:jc w:val="both"/>
      </w:pPr>
    </w:p>
    <w:p w14:paraId="5498F96F" w14:textId="77777777" w:rsidR="00D20123" w:rsidRPr="00C102A4" w:rsidRDefault="00D20123" w:rsidP="00DB5637">
      <w:pPr>
        <w:pStyle w:val="ListParagraph"/>
        <w:numPr>
          <w:ilvl w:val="0"/>
          <w:numId w:val="2"/>
        </w:numPr>
        <w:spacing w:after="120"/>
        <w:ind w:left="425" w:hanging="425"/>
        <w:contextualSpacing w:val="0"/>
        <w:jc w:val="both"/>
        <w:rPr>
          <w:b/>
        </w:rPr>
      </w:pPr>
      <w:r>
        <w:rPr>
          <w:b/>
        </w:rPr>
        <w:t>Description of Applicant:</w:t>
      </w:r>
    </w:p>
    <w:p w14:paraId="0BA5F86F" w14:textId="77777777" w:rsidR="00D20123" w:rsidRDefault="00D20123" w:rsidP="00DB5637">
      <w:pPr>
        <w:pStyle w:val="ListParagraph"/>
        <w:numPr>
          <w:ilvl w:val="0"/>
          <w:numId w:val="3"/>
        </w:numPr>
        <w:spacing w:before="80"/>
        <w:ind w:left="992" w:hanging="357"/>
        <w:contextualSpacing w:val="0"/>
        <w:jc w:val="both"/>
      </w:pPr>
      <w:r>
        <w:t>Description of the Applicant’s Institution (date of establishment, number of employees, shareholders etc.), legal status and applicable regulatory framework;</w:t>
      </w:r>
    </w:p>
    <w:p w14:paraId="79387D62" w14:textId="792C6C8B" w:rsidR="00D20123" w:rsidRDefault="00D20123" w:rsidP="00DB5637">
      <w:pPr>
        <w:pStyle w:val="ListParagraph"/>
        <w:numPr>
          <w:ilvl w:val="0"/>
          <w:numId w:val="3"/>
        </w:numPr>
        <w:spacing w:before="80"/>
        <w:ind w:left="992" w:hanging="357"/>
        <w:contextualSpacing w:val="0"/>
        <w:jc w:val="both"/>
      </w:pPr>
      <w:r>
        <w:t>Geographical area of operations and branch network in Malta and Gozo</w:t>
      </w:r>
      <w:r w:rsidR="00653994">
        <w:t>;</w:t>
      </w:r>
    </w:p>
    <w:p w14:paraId="072F0840" w14:textId="4CBB67A9" w:rsidR="00D20123" w:rsidRDefault="00D20123" w:rsidP="00DB5637">
      <w:pPr>
        <w:pStyle w:val="ListParagraph"/>
        <w:numPr>
          <w:ilvl w:val="0"/>
          <w:numId w:val="3"/>
        </w:numPr>
        <w:spacing w:before="80"/>
        <w:ind w:left="992" w:hanging="357"/>
        <w:contextualSpacing w:val="0"/>
        <w:jc w:val="both"/>
      </w:pPr>
      <w:r>
        <w:t>Description of Applicant</w:t>
      </w:r>
      <w:r w:rsidR="00615560">
        <w:t>’</w:t>
      </w:r>
      <w:r>
        <w:t>s governing and management bodies and corporate governance structure.</w:t>
      </w:r>
    </w:p>
    <w:p w14:paraId="4C8499A8" w14:textId="2C2DB96C" w:rsidR="009856D3" w:rsidRPr="00C372B4" w:rsidRDefault="009856D3" w:rsidP="00DB5637">
      <w:pPr>
        <w:pStyle w:val="ListParagraph"/>
        <w:numPr>
          <w:ilvl w:val="0"/>
          <w:numId w:val="3"/>
        </w:numPr>
        <w:spacing w:before="80"/>
        <w:ind w:left="992" w:hanging="357"/>
        <w:contextualSpacing w:val="0"/>
        <w:jc w:val="both"/>
      </w:pPr>
      <w:r>
        <w:t xml:space="preserve">The </w:t>
      </w:r>
      <w:r w:rsidR="008421C5">
        <w:t xml:space="preserve">Applicant </w:t>
      </w:r>
      <w:r>
        <w:t>is to provide full description of the procedures for approving, disbursing and monitoring of student loans.</w:t>
      </w:r>
    </w:p>
    <w:p w14:paraId="325C253D" w14:textId="77777777" w:rsidR="00D20123" w:rsidRDefault="00D20123" w:rsidP="00D20123">
      <w:pPr>
        <w:jc w:val="both"/>
      </w:pPr>
    </w:p>
    <w:p w14:paraId="140D7286" w14:textId="77777777" w:rsidR="00D20123" w:rsidRDefault="00D20123" w:rsidP="000876E3">
      <w:pPr>
        <w:pStyle w:val="ListParagraph"/>
        <w:numPr>
          <w:ilvl w:val="0"/>
          <w:numId w:val="2"/>
        </w:numPr>
        <w:spacing w:after="120"/>
        <w:ind w:left="425" w:hanging="425"/>
        <w:contextualSpacing w:val="0"/>
        <w:jc w:val="both"/>
        <w:rPr>
          <w:b/>
        </w:rPr>
      </w:pPr>
      <w:r>
        <w:rPr>
          <w:b/>
        </w:rPr>
        <w:t>Information on the Applicant’s present activities:</w:t>
      </w:r>
    </w:p>
    <w:p w14:paraId="62EF3E97" w14:textId="11A317DE" w:rsidR="00D20123" w:rsidRDefault="00D20123" w:rsidP="00DB5637">
      <w:pPr>
        <w:pStyle w:val="ListParagraph"/>
        <w:numPr>
          <w:ilvl w:val="0"/>
          <w:numId w:val="4"/>
        </w:numPr>
        <w:ind w:hanging="153"/>
        <w:jc w:val="both"/>
      </w:pPr>
      <w:r>
        <w:t xml:space="preserve">Commitment to </w:t>
      </w:r>
      <w:r w:rsidR="008421C5">
        <w:t xml:space="preserve">student </w:t>
      </w:r>
      <w:r>
        <w:t>loans</w:t>
      </w:r>
    </w:p>
    <w:p w14:paraId="0F4124BD" w14:textId="1C310133" w:rsidR="00D20123" w:rsidRDefault="00D20123" w:rsidP="000876E3">
      <w:pPr>
        <w:pStyle w:val="ListParagraph"/>
        <w:numPr>
          <w:ilvl w:val="0"/>
          <w:numId w:val="43"/>
        </w:numPr>
        <w:spacing w:before="120"/>
        <w:ind w:left="1134" w:hanging="425"/>
        <w:contextualSpacing w:val="0"/>
        <w:jc w:val="both"/>
      </w:pPr>
      <w:r>
        <w:t xml:space="preserve">Overall strategy of the Applicant in general and </w:t>
      </w:r>
      <w:r w:rsidR="008421C5">
        <w:t xml:space="preserve">student </w:t>
      </w:r>
      <w:r>
        <w:t xml:space="preserve">loan lending </w:t>
      </w:r>
      <w:proofErr w:type="gramStart"/>
      <w:r>
        <w:t>strategy in particular, positioning</w:t>
      </w:r>
      <w:proofErr w:type="gramEnd"/>
      <w:r>
        <w:t xml:space="preserve"> vis-à-vis competitors in </w:t>
      </w:r>
      <w:r w:rsidR="008421C5">
        <w:t xml:space="preserve">student </w:t>
      </w:r>
      <w:r>
        <w:t>lending segment, product range offered, expected impact of current market environment on student lending (e</w:t>
      </w:r>
      <w:r w:rsidR="00615560">
        <w:t>.</w:t>
      </w:r>
      <w:r>
        <w:t xml:space="preserve">g. </w:t>
      </w:r>
      <w:r w:rsidR="008421C5">
        <w:t xml:space="preserve">tighter </w:t>
      </w:r>
      <w:r>
        <w:t>lending criteria, etc</w:t>
      </w:r>
      <w:r w:rsidR="00653994">
        <w:t>.</w:t>
      </w:r>
      <w:r>
        <w:t>)</w:t>
      </w:r>
    </w:p>
    <w:p w14:paraId="5C799A5A" w14:textId="629A965D" w:rsidR="0014346E" w:rsidRDefault="0014346E" w:rsidP="000876E3">
      <w:pPr>
        <w:pStyle w:val="ListParagraph"/>
        <w:numPr>
          <w:ilvl w:val="0"/>
          <w:numId w:val="43"/>
        </w:numPr>
        <w:spacing w:before="120"/>
        <w:ind w:left="1134" w:hanging="425"/>
        <w:contextualSpacing w:val="0"/>
        <w:jc w:val="both"/>
      </w:pPr>
      <w:r>
        <w:t>Student lending onboard</w:t>
      </w:r>
    </w:p>
    <w:p w14:paraId="512B2021" w14:textId="77777777" w:rsidR="00D20123" w:rsidRDefault="00D20123" w:rsidP="00D20123">
      <w:pPr>
        <w:jc w:val="both"/>
      </w:pPr>
    </w:p>
    <w:p w14:paraId="7E7C780A" w14:textId="2C917369" w:rsidR="00D20123" w:rsidRDefault="00D20123" w:rsidP="000876E3">
      <w:pPr>
        <w:pStyle w:val="ListParagraph"/>
        <w:numPr>
          <w:ilvl w:val="0"/>
          <w:numId w:val="4"/>
        </w:numPr>
        <w:spacing w:after="120"/>
        <w:ind w:left="714" w:hanging="147"/>
        <w:contextualSpacing w:val="0"/>
        <w:jc w:val="both"/>
      </w:pPr>
      <w:r>
        <w:t>Current pricing policy for comparable loans (in terms of maturity, purpose</w:t>
      </w:r>
      <w:r w:rsidR="00A8645E">
        <w:t>,</w:t>
      </w:r>
      <w:r>
        <w:t xml:space="preserve"> etc</w:t>
      </w:r>
      <w:r w:rsidR="00653994">
        <w:t>.</w:t>
      </w:r>
      <w:r>
        <w:t>) to a similar target group, as per Table 1 below, including</w:t>
      </w:r>
    </w:p>
    <w:p w14:paraId="0816009C" w14:textId="68AB8075" w:rsidR="00D20123" w:rsidRDefault="00D20123" w:rsidP="000876E3">
      <w:pPr>
        <w:pStyle w:val="ListParagraph"/>
        <w:numPr>
          <w:ilvl w:val="0"/>
          <w:numId w:val="44"/>
        </w:numPr>
        <w:ind w:left="1134" w:hanging="425"/>
        <w:jc w:val="both"/>
      </w:pPr>
      <w:r>
        <w:t>Interest rate split into fixed and variable, base rate</w:t>
      </w:r>
      <w:r w:rsidR="00653994">
        <w:t>;</w:t>
      </w:r>
    </w:p>
    <w:p w14:paraId="4F222694" w14:textId="71C66105" w:rsidR="00D20123" w:rsidRDefault="00D20123" w:rsidP="000876E3">
      <w:pPr>
        <w:pStyle w:val="ListParagraph"/>
        <w:numPr>
          <w:ilvl w:val="0"/>
          <w:numId w:val="44"/>
        </w:numPr>
        <w:ind w:left="1134" w:hanging="425"/>
        <w:jc w:val="both"/>
      </w:pPr>
      <w:r>
        <w:t>Up-front fees and any other non-interest payments</w:t>
      </w:r>
      <w:r w:rsidR="00653994">
        <w:t>;</w:t>
      </w:r>
    </w:p>
    <w:p w14:paraId="6C2EE7A9" w14:textId="67824666" w:rsidR="00D20123" w:rsidRDefault="008421C5" w:rsidP="000876E3">
      <w:pPr>
        <w:pStyle w:val="ListParagraph"/>
        <w:numPr>
          <w:ilvl w:val="0"/>
          <w:numId w:val="44"/>
        </w:numPr>
        <w:ind w:left="1134" w:hanging="425"/>
        <w:jc w:val="both"/>
      </w:pPr>
      <w:r>
        <w:t xml:space="preserve">Collateral </w:t>
      </w:r>
      <w:r w:rsidR="00266EEF">
        <w:t>requirements</w:t>
      </w:r>
      <w:r w:rsidR="00653994">
        <w:t>.</w:t>
      </w:r>
    </w:p>
    <w:p w14:paraId="5E7A2DD0" w14:textId="77777777" w:rsidR="00D20123" w:rsidRDefault="00D20123" w:rsidP="00D20123">
      <w:pPr>
        <w:pStyle w:val="ListParagraph"/>
        <w:ind w:left="2160"/>
        <w:jc w:val="both"/>
      </w:pPr>
    </w:p>
    <w:p w14:paraId="103C624D" w14:textId="6646EA3F" w:rsidR="00D20123" w:rsidRDefault="00D20123" w:rsidP="00D20123">
      <w:pPr>
        <w:jc w:val="both"/>
        <w:rPr>
          <w:u w:val="single"/>
        </w:rPr>
      </w:pPr>
      <w:r>
        <w:t xml:space="preserve"> </w:t>
      </w:r>
      <w:r>
        <w:tab/>
      </w:r>
      <w:r w:rsidRPr="009E1482">
        <w:rPr>
          <w:u w:val="single"/>
        </w:rPr>
        <w:t>Table 1</w:t>
      </w:r>
      <w:r w:rsidR="00823D7B">
        <w:rPr>
          <w:u w:val="single"/>
        </w:rPr>
        <w:t xml:space="preserve"> - </w:t>
      </w:r>
      <w:r w:rsidR="00375489">
        <w:rPr>
          <w:u w:val="single"/>
        </w:rPr>
        <w:t xml:space="preserve"> </w:t>
      </w:r>
      <w:r w:rsidR="00823D7B">
        <w:rPr>
          <w:u w:val="single"/>
        </w:rPr>
        <w:t xml:space="preserve"> </w:t>
      </w:r>
      <w:r w:rsidR="00375489">
        <w:rPr>
          <w:u w:val="single"/>
        </w:rPr>
        <w:t>Current pricing policy</w:t>
      </w:r>
    </w:p>
    <w:p w14:paraId="02E1112C" w14:textId="77777777" w:rsidR="00375489" w:rsidRPr="00375489" w:rsidRDefault="00375489" w:rsidP="00D20123">
      <w:pPr>
        <w:jc w:val="both"/>
        <w:rPr>
          <w:u w:val="single"/>
        </w:rPr>
      </w:pPr>
    </w:p>
    <w:tbl>
      <w:tblPr>
        <w:tblStyle w:val="TableGrid"/>
        <w:tblW w:w="0" w:type="auto"/>
        <w:tblInd w:w="704" w:type="dxa"/>
        <w:tblLook w:val="04A0" w:firstRow="1" w:lastRow="0" w:firstColumn="1" w:lastColumn="0" w:noHBand="0" w:noVBand="1"/>
      </w:tblPr>
      <w:tblGrid>
        <w:gridCol w:w="4111"/>
        <w:gridCol w:w="4201"/>
      </w:tblGrid>
      <w:tr w:rsidR="00D20123" w14:paraId="2CA770EC" w14:textId="77777777" w:rsidTr="00823D7B">
        <w:tc>
          <w:tcPr>
            <w:tcW w:w="4111" w:type="dxa"/>
          </w:tcPr>
          <w:p w14:paraId="7793E05D" w14:textId="166C03D7" w:rsidR="00D20123" w:rsidRPr="00CB66D0" w:rsidRDefault="00D20123" w:rsidP="00823D7B">
            <w:pPr>
              <w:pStyle w:val="ListParagraph"/>
              <w:spacing w:before="80" w:after="80"/>
              <w:ind w:left="0"/>
              <w:contextualSpacing w:val="0"/>
              <w:jc w:val="both"/>
              <w:rPr>
                <w:i/>
              </w:rPr>
            </w:pPr>
            <w:r w:rsidRPr="00CB66D0">
              <w:rPr>
                <w:i/>
              </w:rPr>
              <w:t xml:space="preserve">Total of Value of loans </w:t>
            </w:r>
            <w:r w:rsidR="0024672C">
              <w:rPr>
                <w:i/>
              </w:rPr>
              <w:t>a</w:t>
            </w:r>
            <w:r w:rsidR="0024672C" w:rsidRPr="00CB66D0">
              <w:rPr>
                <w:i/>
              </w:rPr>
              <w:t xml:space="preserve">warded </w:t>
            </w:r>
            <w:r w:rsidRPr="00CB66D0">
              <w:rPr>
                <w:i/>
              </w:rPr>
              <w:t>if available</w:t>
            </w:r>
          </w:p>
        </w:tc>
        <w:tc>
          <w:tcPr>
            <w:tcW w:w="4201" w:type="dxa"/>
          </w:tcPr>
          <w:p w14:paraId="1F80D63C" w14:textId="77777777" w:rsidR="00D20123" w:rsidRPr="00CB66D0" w:rsidRDefault="00D20123" w:rsidP="00823D7B">
            <w:pPr>
              <w:pStyle w:val="ListParagraph"/>
              <w:spacing w:before="80" w:after="80"/>
              <w:ind w:left="0"/>
              <w:contextualSpacing w:val="0"/>
              <w:jc w:val="both"/>
              <w:rPr>
                <w:i/>
              </w:rPr>
            </w:pPr>
            <w:r>
              <w:rPr>
                <w:i/>
              </w:rPr>
              <w:t>Euro:</w:t>
            </w:r>
          </w:p>
        </w:tc>
      </w:tr>
      <w:tr w:rsidR="00D20123" w:rsidRPr="009E1482" w14:paraId="4A7320C0" w14:textId="77777777" w:rsidTr="00823D7B">
        <w:tc>
          <w:tcPr>
            <w:tcW w:w="4111" w:type="dxa"/>
          </w:tcPr>
          <w:p w14:paraId="2EA3DF42" w14:textId="77777777" w:rsidR="00D20123" w:rsidRDefault="00D20123" w:rsidP="00823D7B">
            <w:pPr>
              <w:spacing w:before="40"/>
              <w:jc w:val="both"/>
              <w:rPr>
                <w:i/>
              </w:rPr>
            </w:pPr>
            <w:r>
              <w:rPr>
                <w:i/>
              </w:rPr>
              <w:t xml:space="preserve">Interest </w:t>
            </w:r>
          </w:p>
          <w:p w14:paraId="5FB8B26E" w14:textId="77777777" w:rsidR="00D20123" w:rsidRDefault="00D20123" w:rsidP="00823D7B">
            <w:pPr>
              <w:pStyle w:val="ListParagraph"/>
              <w:numPr>
                <w:ilvl w:val="0"/>
                <w:numId w:val="27"/>
              </w:numPr>
              <w:spacing w:before="40"/>
              <w:contextualSpacing w:val="0"/>
              <w:jc w:val="both"/>
              <w:rPr>
                <w:i/>
              </w:rPr>
            </w:pPr>
            <w:r>
              <w:rPr>
                <w:i/>
              </w:rPr>
              <w:t>fixed</w:t>
            </w:r>
          </w:p>
          <w:p w14:paraId="4BA1FC6E" w14:textId="77777777" w:rsidR="00D20123" w:rsidRPr="003C501E" w:rsidRDefault="00D20123" w:rsidP="00823D7B">
            <w:pPr>
              <w:pStyle w:val="ListParagraph"/>
              <w:numPr>
                <w:ilvl w:val="0"/>
                <w:numId w:val="27"/>
              </w:numPr>
              <w:spacing w:before="40" w:after="40"/>
              <w:ind w:left="714" w:hanging="357"/>
              <w:contextualSpacing w:val="0"/>
              <w:jc w:val="both"/>
              <w:rPr>
                <w:i/>
              </w:rPr>
            </w:pPr>
            <w:r>
              <w:rPr>
                <w:i/>
              </w:rPr>
              <w:t>variable</w:t>
            </w:r>
          </w:p>
        </w:tc>
        <w:tc>
          <w:tcPr>
            <w:tcW w:w="4201" w:type="dxa"/>
          </w:tcPr>
          <w:p w14:paraId="205DD2F7" w14:textId="77777777" w:rsidR="00D20123" w:rsidRPr="00CB66D0" w:rsidRDefault="00D20123" w:rsidP="00823D7B">
            <w:pPr>
              <w:spacing w:before="80"/>
              <w:jc w:val="both"/>
              <w:rPr>
                <w:i/>
              </w:rPr>
            </w:pPr>
            <w:r w:rsidRPr="00CB66D0">
              <w:rPr>
                <w:i/>
              </w:rPr>
              <w:t>Final effective rate</w:t>
            </w:r>
          </w:p>
        </w:tc>
      </w:tr>
      <w:tr w:rsidR="00D20123" w:rsidRPr="009E1482" w14:paraId="0A8C8F01" w14:textId="77777777" w:rsidTr="00823D7B">
        <w:tc>
          <w:tcPr>
            <w:tcW w:w="4111" w:type="dxa"/>
          </w:tcPr>
          <w:p w14:paraId="3DBC497B" w14:textId="77777777" w:rsidR="00D20123" w:rsidRDefault="00D20123" w:rsidP="00823D7B">
            <w:pPr>
              <w:pStyle w:val="ListParagraph"/>
              <w:spacing w:before="80" w:after="80"/>
              <w:ind w:left="0"/>
              <w:contextualSpacing w:val="0"/>
              <w:jc w:val="both"/>
              <w:rPr>
                <w:i/>
              </w:rPr>
            </w:pPr>
            <w:r>
              <w:rPr>
                <w:i/>
              </w:rPr>
              <w:t>Average Fees per student loan</w:t>
            </w:r>
          </w:p>
        </w:tc>
        <w:tc>
          <w:tcPr>
            <w:tcW w:w="4201" w:type="dxa"/>
          </w:tcPr>
          <w:p w14:paraId="7B5BC474" w14:textId="77777777" w:rsidR="00D20123" w:rsidRPr="009E1482" w:rsidRDefault="00D20123" w:rsidP="00823D7B">
            <w:pPr>
              <w:pStyle w:val="ListParagraph"/>
              <w:spacing w:before="80" w:after="80"/>
              <w:ind w:left="0"/>
              <w:contextualSpacing w:val="0"/>
              <w:jc w:val="both"/>
              <w:rPr>
                <w:i/>
              </w:rPr>
            </w:pPr>
            <w:r>
              <w:rPr>
                <w:i/>
              </w:rPr>
              <w:t>Euro:</w:t>
            </w:r>
          </w:p>
        </w:tc>
      </w:tr>
      <w:tr w:rsidR="00D20123" w:rsidRPr="009E1482" w14:paraId="7E525294" w14:textId="77777777" w:rsidTr="00823D7B">
        <w:tc>
          <w:tcPr>
            <w:tcW w:w="4111" w:type="dxa"/>
          </w:tcPr>
          <w:p w14:paraId="4D56CC64" w14:textId="5DEDD949" w:rsidR="00D20123" w:rsidRDefault="008421C5" w:rsidP="00823D7B">
            <w:pPr>
              <w:pStyle w:val="ListParagraph"/>
              <w:spacing w:before="40" w:after="40"/>
              <w:ind w:left="0"/>
              <w:contextualSpacing w:val="0"/>
              <w:jc w:val="both"/>
              <w:rPr>
                <w:i/>
              </w:rPr>
            </w:pPr>
            <w:r>
              <w:rPr>
                <w:i/>
              </w:rPr>
              <w:t>Collateral</w:t>
            </w:r>
          </w:p>
        </w:tc>
        <w:tc>
          <w:tcPr>
            <w:tcW w:w="4201" w:type="dxa"/>
          </w:tcPr>
          <w:p w14:paraId="15EBE68E" w14:textId="77777777" w:rsidR="00D20123" w:rsidRDefault="00D20123" w:rsidP="00823D7B">
            <w:pPr>
              <w:pStyle w:val="ListParagraph"/>
              <w:numPr>
                <w:ilvl w:val="0"/>
                <w:numId w:val="26"/>
              </w:numPr>
              <w:spacing w:before="40" w:after="40"/>
              <w:contextualSpacing w:val="0"/>
              <w:jc w:val="both"/>
              <w:rPr>
                <w:i/>
              </w:rPr>
            </w:pPr>
            <w:r>
              <w:rPr>
                <w:i/>
              </w:rPr>
              <w:t xml:space="preserve">Yes  </w:t>
            </w:r>
          </w:p>
          <w:p w14:paraId="15F8A157" w14:textId="77777777" w:rsidR="00D20123" w:rsidRPr="003C501E" w:rsidRDefault="00D20123" w:rsidP="00823D7B">
            <w:pPr>
              <w:pStyle w:val="ListParagraph"/>
              <w:numPr>
                <w:ilvl w:val="0"/>
                <w:numId w:val="26"/>
              </w:numPr>
              <w:spacing w:before="40" w:after="40"/>
              <w:contextualSpacing w:val="0"/>
              <w:jc w:val="both"/>
              <w:rPr>
                <w:i/>
              </w:rPr>
            </w:pPr>
            <w:r>
              <w:rPr>
                <w:i/>
              </w:rPr>
              <w:t>No</w:t>
            </w:r>
          </w:p>
        </w:tc>
      </w:tr>
    </w:tbl>
    <w:p w14:paraId="3736FF03" w14:textId="77777777" w:rsidR="00D20123" w:rsidRDefault="00D20123" w:rsidP="00D20123">
      <w:pPr>
        <w:pStyle w:val="ListParagraph"/>
        <w:ind w:left="2160"/>
        <w:jc w:val="both"/>
      </w:pPr>
    </w:p>
    <w:p w14:paraId="53E1EAAF" w14:textId="7A54356E" w:rsidR="00D20123" w:rsidRPr="00E95B98" w:rsidRDefault="00D20123" w:rsidP="00B76EEF">
      <w:pPr>
        <w:pStyle w:val="ListParagraph"/>
        <w:numPr>
          <w:ilvl w:val="0"/>
          <w:numId w:val="2"/>
        </w:numPr>
        <w:spacing w:after="120"/>
        <w:ind w:left="425" w:hanging="425"/>
        <w:contextualSpacing w:val="0"/>
        <w:jc w:val="both"/>
        <w:rPr>
          <w:b/>
        </w:rPr>
      </w:pPr>
      <w:r w:rsidRPr="00E95B98">
        <w:rPr>
          <w:b/>
        </w:rPr>
        <w:t xml:space="preserve">Information on the implementation of the </w:t>
      </w:r>
      <w:r w:rsidR="00375489">
        <w:rPr>
          <w:b/>
        </w:rPr>
        <w:t xml:space="preserve">FI </w:t>
      </w:r>
      <w:r w:rsidRPr="00E95B98">
        <w:rPr>
          <w:b/>
        </w:rPr>
        <w:t>by the Applicant:</w:t>
      </w:r>
    </w:p>
    <w:p w14:paraId="1CF51830" w14:textId="15535E52" w:rsidR="00D20123" w:rsidRDefault="00D20123" w:rsidP="00B76EEF">
      <w:pPr>
        <w:pStyle w:val="ListParagraph"/>
        <w:numPr>
          <w:ilvl w:val="0"/>
          <w:numId w:val="7"/>
        </w:numPr>
        <w:spacing w:before="120" w:after="120"/>
        <w:ind w:left="1134" w:hanging="425"/>
        <w:contextualSpacing w:val="0"/>
        <w:jc w:val="both"/>
      </w:pPr>
      <w:r>
        <w:t xml:space="preserve">General </w:t>
      </w:r>
      <w:r w:rsidR="00A37AFD">
        <w:t>investment methodology</w:t>
      </w:r>
      <w:r w:rsidR="00266EEF">
        <w:t xml:space="preserve"> and business plan</w:t>
      </w:r>
      <w:r>
        <w:t xml:space="preserve"> (e</w:t>
      </w:r>
      <w:r w:rsidR="00615560">
        <w:t>.</w:t>
      </w:r>
      <w:r>
        <w:t xml:space="preserve">g. How the </w:t>
      </w:r>
      <w:r w:rsidR="00375489">
        <w:t xml:space="preserve">FI </w:t>
      </w:r>
      <w:r>
        <w:t>will be promoted nationwide, including both Malta and Gozo, publicity strategy, procedures for allocation of loans, etc</w:t>
      </w:r>
      <w:r w:rsidR="00EA5C48">
        <w:t>.</w:t>
      </w:r>
      <w:r>
        <w:t>);</w:t>
      </w:r>
    </w:p>
    <w:p w14:paraId="01ADB066" w14:textId="332E5D6A" w:rsidR="00D20123" w:rsidRDefault="00D20123" w:rsidP="00B76EEF">
      <w:pPr>
        <w:pStyle w:val="ListParagraph"/>
        <w:numPr>
          <w:ilvl w:val="0"/>
          <w:numId w:val="7"/>
        </w:numPr>
        <w:spacing w:after="120"/>
        <w:ind w:left="1134" w:hanging="425"/>
        <w:contextualSpacing w:val="0"/>
        <w:jc w:val="both"/>
      </w:pPr>
      <w:r>
        <w:t>Applicants are requested to specify the proposed size of the portfolio of Eligible Loans to be originated</w:t>
      </w:r>
      <w:r w:rsidR="00F26F75">
        <w:t xml:space="preserve"> and disbursed</w:t>
      </w:r>
      <w:r>
        <w:t xml:space="preserve"> during the Availability Period. Considering the guarantee, it is expected that the size of the portfolio will carry a minimum of </w:t>
      </w:r>
      <w:r w:rsidR="00787ABD">
        <w:t xml:space="preserve">EUR </w:t>
      </w:r>
      <w:r>
        <w:t>5</w:t>
      </w:r>
      <w:r w:rsidR="00DD7ABB">
        <w:t>.5 million</w:t>
      </w:r>
      <w:r>
        <w:t>.</w:t>
      </w:r>
    </w:p>
    <w:p w14:paraId="7F54ED0D" w14:textId="4900FEC3" w:rsidR="00D20123" w:rsidRPr="00F20E2A" w:rsidRDefault="00AC29DD" w:rsidP="00B76EEF">
      <w:pPr>
        <w:pStyle w:val="ListParagraph"/>
        <w:numPr>
          <w:ilvl w:val="0"/>
          <w:numId w:val="7"/>
        </w:numPr>
        <w:ind w:hanging="153"/>
        <w:jc w:val="both"/>
      </w:pPr>
      <w:r w:rsidRPr="00F20E2A">
        <w:t>Lending criteria</w:t>
      </w:r>
      <w:r w:rsidR="00F20E2A" w:rsidRPr="001F55BD">
        <w:t xml:space="preserve"> proposed front contribution, if any</w:t>
      </w:r>
      <w:r w:rsidR="00F20E2A">
        <w:t>,</w:t>
      </w:r>
      <w:r w:rsidR="00615560" w:rsidRPr="00F20E2A">
        <w:t xml:space="preserve"> and</w:t>
      </w:r>
      <w:r w:rsidR="00D20123" w:rsidRPr="00F20E2A">
        <w:t xml:space="preserve"> proposed pricing to be applied on the new loan portfolio under this Financial Instrument</w:t>
      </w:r>
      <w:r w:rsidR="00E53ED3" w:rsidRPr="00F20E2A">
        <w:t>. These should be</w:t>
      </w:r>
      <w:r w:rsidR="00D20123" w:rsidRPr="00F20E2A">
        <w:t xml:space="preserve"> submitted in accordance with the table that follows and other terms and conditions to be applied to the loans </w:t>
      </w:r>
      <w:r w:rsidR="00E53ED3" w:rsidRPr="00E0168E">
        <w:t>under</w:t>
      </w:r>
      <w:r w:rsidR="00D20123" w:rsidRPr="00E0168E">
        <w:t xml:space="preserve"> this Financial Instrument, taking into consideration the provisions of Annex 2 and the objective to provide better financing terms to the Eligible Students.  The information submitted herein by the Applicant, as per Tables </w:t>
      </w:r>
      <w:r w:rsidR="003970F4">
        <w:t>2 to 5</w:t>
      </w:r>
      <w:r w:rsidR="00D20123" w:rsidRPr="003970F4">
        <w:t xml:space="preserve"> below</w:t>
      </w:r>
      <w:r w:rsidR="00D20123" w:rsidRPr="00F20E2A">
        <w:t xml:space="preserve">, will be assessed on a comparative basis according to the </w:t>
      </w:r>
      <w:r w:rsidR="003970F4">
        <w:t xml:space="preserve">Award </w:t>
      </w:r>
      <w:r w:rsidR="00D20123" w:rsidRPr="00F20E2A">
        <w:t>Criteria and will become a contractual obligation for</w:t>
      </w:r>
      <w:r w:rsidR="00E53ED3" w:rsidRPr="00F20E2A">
        <w:t xml:space="preserve"> the</w:t>
      </w:r>
      <w:r w:rsidR="00D20123" w:rsidRPr="00F20E2A">
        <w:t xml:space="preserve"> Applicant, if selected.</w:t>
      </w:r>
    </w:p>
    <w:p w14:paraId="78170E2C" w14:textId="77777777" w:rsidR="00D20123" w:rsidRPr="001F55BD" w:rsidRDefault="00D20123" w:rsidP="00D20123">
      <w:pPr>
        <w:ind w:left="360" w:firstLine="360"/>
        <w:jc w:val="both"/>
        <w:rPr>
          <w:color w:val="FF0000"/>
          <w:u w:val="single"/>
        </w:rPr>
      </w:pPr>
    </w:p>
    <w:p w14:paraId="2787A7E5" w14:textId="0955B57D" w:rsidR="00D20123" w:rsidRDefault="00D20123" w:rsidP="00D20123">
      <w:pPr>
        <w:ind w:left="360" w:firstLine="360"/>
        <w:jc w:val="both"/>
        <w:rPr>
          <w:u w:val="single"/>
        </w:rPr>
      </w:pPr>
      <w:r w:rsidRPr="009E1482">
        <w:rPr>
          <w:u w:val="single"/>
        </w:rPr>
        <w:t>Table 2</w:t>
      </w:r>
      <w:r w:rsidR="00823D7B">
        <w:rPr>
          <w:u w:val="single"/>
        </w:rPr>
        <w:t xml:space="preserve"> -  </w:t>
      </w:r>
      <w:r>
        <w:rPr>
          <w:u w:val="single"/>
        </w:rPr>
        <w:t xml:space="preserve"> Proposed interest rate to be charged on the new </w:t>
      </w:r>
      <w:r w:rsidR="001D0410">
        <w:rPr>
          <w:u w:val="single"/>
        </w:rPr>
        <w:t>Eligible L</w:t>
      </w:r>
      <w:r>
        <w:rPr>
          <w:u w:val="single"/>
        </w:rPr>
        <w:t xml:space="preserve">oans covered by the </w:t>
      </w:r>
    </w:p>
    <w:p w14:paraId="1A40C40D" w14:textId="18FB8D3E" w:rsidR="00D20123" w:rsidRDefault="001D0410" w:rsidP="00D20123">
      <w:pPr>
        <w:ind w:left="360" w:firstLine="360"/>
        <w:jc w:val="both"/>
        <w:rPr>
          <w:u w:val="single"/>
        </w:rPr>
      </w:pPr>
      <w:r>
        <w:rPr>
          <w:u w:val="single"/>
        </w:rPr>
        <w:t>FI.</w:t>
      </w:r>
    </w:p>
    <w:p w14:paraId="41ADE19E" w14:textId="77777777" w:rsidR="00D20123" w:rsidRDefault="00D20123" w:rsidP="00D20123">
      <w:pPr>
        <w:ind w:left="360" w:firstLine="360"/>
        <w:jc w:val="both"/>
      </w:pPr>
    </w:p>
    <w:tbl>
      <w:tblPr>
        <w:tblStyle w:val="TableGrid"/>
        <w:tblW w:w="0" w:type="auto"/>
        <w:tblInd w:w="704" w:type="dxa"/>
        <w:tblLook w:val="04A0" w:firstRow="1" w:lastRow="0" w:firstColumn="1" w:lastColumn="0" w:noHBand="0" w:noVBand="1"/>
      </w:tblPr>
      <w:tblGrid>
        <w:gridCol w:w="5387"/>
        <w:gridCol w:w="2925"/>
      </w:tblGrid>
      <w:tr w:rsidR="00D20123" w:rsidRPr="009E1482" w14:paraId="73965AAB" w14:textId="77777777" w:rsidTr="00B76EEF">
        <w:tc>
          <w:tcPr>
            <w:tcW w:w="5387" w:type="dxa"/>
          </w:tcPr>
          <w:p w14:paraId="46B53B65" w14:textId="341284AF" w:rsidR="00F20E2A" w:rsidRPr="009E1482" w:rsidRDefault="00F20E2A" w:rsidP="00B76EEF">
            <w:pPr>
              <w:spacing w:before="120" w:after="120"/>
              <w:jc w:val="both"/>
              <w:rPr>
                <w:b/>
                <w:i/>
              </w:rPr>
            </w:pPr>
            <w:r>
              <w:rPr>
                <w:b/>
                <w:i/>
              </w:rPr>
              <w:t xml:space="preserve">Portfolio Volume of </w:t>
            </w:r>
            <w:r w:rsidR="00D20123" w:rsidRPr="009E1482">
              <w:rPr>
                <w:b/>
                <w:i/>
              </w:rPr>
              <w:t xml:space="preserve">Loans to be awarded </w:t>
            </w:r>
            <w:proofErr w:type="gramStart"/>
            <w:r w:rsidR="00D20123" w:rsidRPr="009E1482">
              <w:rPr>
                <w:b/>
                <w:i/>
              </w:rPr>
              <w:t>on the basis of</w:t>
            </w:r>
            <w:proofErr w:type="gramEnd"/>
            <w:r w:rsidR="00D20123" w:rsidRPr="009E1482">
              <w:rPr>
                <w:b/>
                <w:i/>
              </w:rPr>
              <w:t xml:space="preserve"> </w:t>
            </w:r>
            <w:r w:rsidR="00D20123" w:rsidRPr="009E1482">
              <w:rPr>
                <w:b/>
                <w:i/>
                <w:u w:val="single"/>
              </w:rPr>
              <w:t>no</w:t>
            </w:r>
            <w:r w:rsidR="00D20123" w:rsidRPr="009E1482">
              <w:rPr>
                <w:b/>
                <w:i/>
              </w:rPr>
              <w:t xml:space="preserve"> additional </w:t>
            </w:r>
            <w:r w:rsidR="001D0410">
              <w:rPr>
                <w:b/>
                <w:i/>
              </w:rPr>
              <w:t>collateral</w:t>
            </w:r>
            <w:r w:rsidR="00D20123" w:rsidRPr="009E1482">
              <w:rPr>
                <w:b/>
                <w:i/>
              </w:rPr>
              <w:t xml:space="preserve"> requirements</w:t>
            </w:r>
            <w:r w:rsidR="00D20123">
              <w:rPr>
                <w:b/>
                <w:i/>
              </w:rPr>
              <w:t xml:space="preserve"> (save for life cover) </w:t>
            </w:r>
            <w:r w:rsidR="00D20123" w:rsidRPr="009E1482">
              <w:rPr>
                <w:b/>
                <w:i/>
              </w:rPr>
              <w:t>(Guarantee of 80%, max</w:t>
            </w:r>
            <w:r w:rsidR="00E53ED3">
              <w:rPr>
                <w:b/>
                <w:i/>
              </w:rPr>
              <w:t xml:space="preserve">imum </w:t>
            </w:r>
            <w:r w:rsidR="00D20123" w:rsidRPr="009E1482">
              <w:rPr>
                <w:b/>
                <w:i/>
              </w:rPr>
              <w:t>Cap rate 25%</w:t>
            </w:r>
            <w:r w:rsidR="00BD792E">
              <w:rPr>
                <w:b/>
                <w:i/>
              </w:rPr>
              <w:t>.</w:t>
            </w:r>
          </w:p>
        </w:tc>
        <w:tc>
          <w:tcPr>
            <w:tcW w:w="2925" w:type="dxa"/>
          </w:tcPr>
          <w:p w14:paraId="31B47918" w14:textId="2C8EAB2F" w:rsidR="00D20123" w:rsidRPr="009E1482" w:rsidRDefault="00D20123" w:rsidP="00B76EEF">
            <w:pPr>
              <w:spacing w:before="120" w:after="120"/>
              <w:jc w:val="both"/>
              <w:rPr>
                <w:b/>
                <w:i/>
              </w:rPr>
            </w:pPr>
            <w:r w:rsidRPr="009E1482">
              <w:rPr>
                <w:b/>
                <w:i/>
              </w:rPr>
              <w:t>EUR</w:t>
            </w:r>
            <w:r>
              <w:rPr>
                <w:b/>
                <w:i/>
              </w:rPr>
              <w:t xml:space="preserve">O Denominated </w:t>
            </w:r>
            <w:r w:rsidR="00F20E2A">
              <w:rPr>
                <w:b/>
                <w:i/>
              </w:rPr>
              <w:t>Portfolio Volume amount</w:t>
            </w:r>
          </w:p>
        </w:tc>
      </w:tr>
      <w:tr w:rsidR="00D20123" w:rsidRPr="009E1482" w14:paraId="67BC84F6" w14:textId="77777777" w:rsidTr="00B76EEF">
        <w:tc>
          <w:tcPr>
            <w:tcW w:w="5387" w:type="dxa"/>
          </w:tcPr>
          <w:p w14:paraId="6A2140DD" w14:textId="5834EE5C" w:rsidR="00D20123" w:rsidRPr="001F55BD" w:rsidRDefault="00D20123" w:rsidP="00B76EEF">
            <w:pPr>
              <w:spacing w:before="120" w:after="120"/>
              <w:jc w:val="both"/>
              <w:rPr>
                <w:b/>
                <w:i/>
              </w:rPr>
            </w:pPr>
            <w:r w:rsidRPr="001F55BD">
              <w:rPr>
                <w:b/>
                <w:i/>
              </w:rPr>
              <w:t xml:space="preserve">Interest </w:t>
            </w:r>
            <w:r w:rsidR="00F20E2A">
              <w:rPr>
                <w:b/>
                <w:i/>
              </w:rPr>
              <w:t xml:space="preserve">rate to be charged on the </w:t>
            </w:r>
            <w:r w:rsidR="001D0410">
              <w:rPr>
                <w:b/>
                <w:i/>
              </w:rPr>
              <w:t>Eligible Loans</w:t>
            </w:r>
            <w:r w:rsidR="00F20E2A">
              <w:rPr>
                <w:b/>
                <w:i/>
              </w:rPr>
              <w:t>, whether</w:t>
            </w:r>
          </w:p>
          <w:p w14:paraId="18C24A1C" w14:textId="77777777" w:rsidR="00D20123" w:rsidRDefault="00D20123" w:rsidP="00B76EEF">
            <w:pPr>
              <w:pStyle w:val="ListParagraph"/>
              <w:numPr>
                <w:ilvl w:val="0"/>
                <w:numId w:val="27"/>
              </w:numPr>
              <w:spacing w:before="120" w:after="120"/>
              <w:contextualSpacing w:val="0"/>
              <w:jc w:val="both"/>
              <w:rPr>
                <w:i/>
              </w:rPr>
            </w:pPr>
            <w:r>
              <w:rPr>
                <w:i/>
              </w:rPr>
              <w:t>fixed</w:t>
            </w:r>
          </w:p>
          <w:p w14:paraId="70A1D642" w14:textId="77777777" w:rsidR="00D20123" w:rsidRPr="003C501E" w:rsidRDefault="00D20123" w:rsidP="00B76EEF">
            <w:pPr>
              <w:pStyle w:val="ListParagraph"/>
              <w:numPr>
                <w:ilvl w:val="0"/>
                <w:numId w:val="27"/>
              </w:numPr>
              <w:spacing w:before="120" w:after="120"/>
              <w:contextualSpacing w:val="0"/>
              <w:jc w:val="both"/>
              <w:rPr>
                <w:i/>
              </w:rPr>
            </w:pPr>
            <w:r>
              <w:rPr>
                <w:i/>
              </w:rPr>
              <w:t>variable</w:t>
            </w:r>
          </w:p>
        </w:tc>
        <w:tc>
          <w:tcPr>
            <w:tcW w:w="2925" w:type="dxa"/>
          </w:tcPr>
          <w:p w14:paraId="0BA583C3" w14:textId="77777777" w:rsidR="00D20123" w:rsidRPr="001F55BD" w:rsidRDefault="00D20123" w:rsidP="00B76EEF">
            <w:pPr>
              <w:spacing w:before="120" w:after="120"/>
              <w:jc w:val="both"/>
              <w:rPr>
                <w:b/>
                <w:i/>
              </w:rPr>
            </w:pPr>
            <w:r w:rsidRPr="001F55BD">
              <w:rPr>
                <w:b/>
                <w:i/>
              </w:rPr>
              <w:t>Final effective rate</w:t>
            </w:r>
          </w:p>
        </w:tc>
      </w:tr>
    </w:tbl>
    <w:p w14:paraId="350D306C" w14:textId="77777777" w:rsidR="004B7B2B" w:rsidRDefault="004B7B2B" w:rsidP="004B7B2B">
      <w:pPr>
        <w:ind w:left="360" w:firstLine="360"/>
        <w:jc w:val="both"/>
        <w:rPr>
          <w:u w:val="single"/>
        </w:rPr>
      </w:pPr>
    </w:p>
    <w:p w14:paraId="4645C941" w14:textId="12E95658" w:rsidR="00D20123" w:rsidRDefault="00D23844" w:rsidP="00D20123">
      <w:pPr>
        <w:ind w:left="360"/>
        <w:jc w:val="both"/>
      </w:pPr>
      <w:proofErr w:type="gramStart"/>
      <w:r>
        <w:t>Particular consideration</w:t>
      </w:r>
      <w:proofErr w:type="gramEnd"/>
      <w:r>
        <w:t xml:space="preserve"> </w:t>
      </w:r>
      <w:r w:rsidR="00D20123">
        <w:t xml:space="preserve">will be </w:t>
      </w:r>
      <w:r w:rsidR="00E53ED3">
        <w:t>given</w:t>
      </w:r>
      <w:r w:rsidR="00D20123">
        <w:t xml:space="preserve"> to the benefit </w:t>
      </w:r>
      <w:r w:rsidR="00286E67">
        <w:t xml:space="preserve">fully </w:t>
      </w:r>
      <w:r w:rsidR="00E53ED3">
        <w:t xml:space="preserve">passed on </w:t>
      </w:r>
      <w:r w:rsidR="00D20123">
        <w:t xml:space="preserve">to the </w:t>
      </w:r>
      <w:r w:rsidR="00E53ED3">
        <w:t xml:space="preserve">Eligible </w:t>
      </w:r>
      <w:r w:rsidR="00D20123">
        <w:t>Students in the form of reduction in interest rate on the loans supported by the Financial Instrument, taking into account:</w:t>
      </w:r>
    </w:p>
    <w:p w14:paraId="7E468E10" w14:textId="23821A29" w:rsidR="00D20123" w:rsidRDefault="001D0410" w:rsidP="007751B4">
      <w:pPr>
        <w:pStyle w:val="ListParagraph"/>
        <w:numPr>
          <w:ilvl w:val="0"/>
          <w:numId w:val="36"/>
        </w:numPr>
        <w:spacing w:after="120"/>
        <w:ind w:left="1134" w:hanging="357"/>
        <w:contextualSpacing w:val="0"/>
        <w:jc w:val="both"/>
      </w:pPr>
      <w:r>
        <w:t>G</w:t>
      </w:r>
      <w:r w:rsidR="00D20123">
        <w:t xml:space="preserve">uarantee on the Portfolio as described above which will reduce the RWA (Risk Weighted Asset) on this </w:t>
      </w:r>
      <w:proofErr w:type="gramStart"/>
      <w:r w:rsidR="00D20123">
        <w:t>particular portfolio</w:t>
      </w:r>
      <w:proofErr w:type="gramEnd"/>
      <w:r w:rsidR="00D23844">
        <w:t>.</w:t>
      </w:r>
    </w:p>
    <w:p w14:paraId="73C4F8A4" w14:textId="023FC841" w:rsidR="00D20123" w:rsidRDefault="00D20123" w:rsidP="007751B4">
      <w:pPr>
        <w:pStyle w:val="ListParagraph"/>
        <w:numPr>
          <w:ilvl w:val="0"/>
          <w:numId w:val="36"/>
        </w:numPr>
        <w:spacing w:after="120"/>
        <w:ind w:left="1134" w:hanging="357"/>
        <w:contextualSpacing w:val="0"/>
        <w:jc w:val="both"/>
      </w:pPr>
      <w:r>
        <w:t xml:space="preserve">The </w:t>
      </w:r>
      <w:r w:rsidR="00E53ED3">
        <w:t>interest rate subsidy</w:t>
      </w:r>
      <w:r>
        <w:t xml:space="preserve"> which will </w:t>
      </w:r>
      <w:r w:rsidR="00E53ED3">
        <w:t>eliminate</w:t>
      </w:r>
      <w:r>
        <w:t xml:space="preserve"> the risk on the interest payments during the moratorium period</w:t>
      </w:r>
      <w:r w:rsidR="00D23844">
        <w:t>.</w:t>
      </w:r>
    </w:p>
    <w:p w14:paraId="2D5AE235" w14:textId="1A198493" w:rsidR="00D20123" w:rsidRDefault="00D20123" w:rsidP="00D20123">
      <w:pPr>
        <w:ind w:left="360"/>
        <w:jc w:val="both"/>
        <w:rPr>
          <w:u w:val="single"/>
        </w:rPr>
      </w:pPr>
      <w:r>
        <w:tab/>
      </w:r>
      <w:r>
        <w:rPr>
          <w:u w:val="single"/>
        </w:rPr>
        <w:t xml:space="preserve">Table </w:t>
      </w:r>
      <w:r w:rsidR="00AC29DD">
        <w:rPr>
          <w:u w:val="single"/>
        </w:rPr>
        <w:t>3</w:t>
      </w:r>
      <w:r>
        <w:rPr>
          <w:u w:val="single"/>
        </w:rPr>
        <w:t xml:space="preserve"> – Fees to be applied on the new </w:t>
      </w:r>
      <w:r w:rsidR="001D0410">
        <w:rPr>
          <w:u w:val="single"/>
        </w:rPr>
        <w:t>Eligible L</w:t>
      </w:r>
      <w:r>
        <w:rPr>
          <w:u w:val="single"/>
        </w:rPr>
        <w:t>oans covered by the FI</w:t>
      </w:r>
    </w:p>
    <w:p w14:paraId="12A4D8A8" w14:textId="77777777" w:rsidR="00D20123" w:rsidRDefault="00D20123" w:rsidP="00D20123">
      <w:pPr>
        <w:ind w:left="360"/>
        <w:jc w:val="both"/>
        <w:rPr>
          <w:u w:val="single"/>
        </w:rPr>
      </w:pPr>
    </w:p>
    <w:tbl>
      <w:tblPr>
        <w:tblStyle w:val="TableGrid"/>
        <w:tblW w:w="8222" w:type="dxa"/>
        <w:tblInd w:w="704" w:type="dxa"/>
        <w:tblLook w:val="04A0" w:firstRow="1" w:lastRow="0" w:firstColumn="1" w:lastColumn="0" w:noHBand="0" w:noVBand="1"/>
      </w:tblPr>
      <w:tblGrid>
        <w:gridCol w:w="2208"/>
        <w:gridCol w:w="1034"/>
        <w:gridCol w:w="1034"/>
        <w:gridCol w:w="1034"/>
        <w:gridCol w:w="1034"/>
        <w:gridCol w:w="1878"/>
      </w:tblGrid>
      <w:tr w:rsidR="00D23844" w14:paraId="7BFF3F23" w14:textId="77777777" w:rsidTr="00823D7B">
        <w:tc>
          <w:tcPr>
            <w:tcW w:w="2208" w:type="dxa"/>
            <w:shd w:val="clear" w:color="auto" w:fill="F2F2F2" w:themeFill="background1" w:themeFillShade="F2"/>
          </w:tcPr>
          <w:p w14:paraId="591870DC" w14:textId="77777777" w:rsidR="00D20123" w:rsidRPr="009E1482" w:rsidRDefault="00D20123" w:rsidP="00823D7B">
            <w:pPr>
              <w:spacing w:before="80" w:after="80"/>
              <w:jc w:val="both"/>
              <w:rPr>
                <w:b/>
                <w:i/>
              </w:rPr>
            </w:pPr>
            <w:r>
              <w:rPr>
                <w:b/>
                <w:i/>
              </w:rPr>
              <w:t>Nature of fee</w:t>
            </w:r>
          </w:p>
        </w:tc>
        <w:tc>
          <w:tcPr>
            <w:tcW w:w="1034" w:type="dxa"/>
            <w:shd w:val="clear" w:color="auto" w:fill="F2F2F2" w:themeFill="background1" w:themeFillShade="F2"/>
          </w:tcPr>
          <w:p w14:paraId="19AE7ADF" w14:textId="77777777" w:rsidR="00D20123" w:rsidRPr="009E1482" w:rsidRDefault="00D20123" w:rsidP="00823D7B">
            <w:pPr>
              <w:spacing w:before="80" w:after="80"/>
              <w:jc w:val="center"/>
              <w:rPr>
                <w:b/>
                <w:i/>
              </w:rPr>
            </w:pPr>
            <w:r>
              <w:rPr>
                <w:b/>
                <w:i/>
              </w:rPr>
              <w:t>Value</w:t>
            </w:r>
          </w:p>
        </w:tc>
        <w:tc>
          <w:tcPr>
            <w:tcW w:w="1034" w:type="dxa"/>
            <w:shd w:val="clear" w:color="auto" w:fill="F2F2F2" w:themeFill="background1" w:themeFillShade="F2"/>
          </w:tcPr>
          <w:p w14:paraId="55AC7369" w14:textId="77777777" w:rsidR="00D20123" w:rsidRPr="009E1482" w:rsidRDefault="00D20123" w:rsidP="00823D7B">
            <w:pPr>
              <w:spacing w:before="80" w:after="80"/>
              <w:jc w:val="center"/>
              <w:rPr>
                <w:b/>
                <w:i/>
              </w:rPr>
            </w:pPr>
            <w:r>
              <w:rPr>
                <w:b/>
                <w:i/>
              </w:rPr>
              <w:t>Single Payment</w:t>
            </w:r>
          </w:p>
        </w:tc>
        <w:tc>
          <w:tcPr>
            <w:tcW w:w="1034" w:type="dxa"/>
            <w:shd w:val="clear" w:color="auto" w:fill="F2F2F2" w:themeFill="background1" w:themeFillShade="F2"/>
          </w:tcPr>
          <w:p w14:paraId="53D4580A" w14:textId="77777777" w:rsidR="00D20123" w:rsidRPr="009E1482" w:rsidRDefault="00D20123" w:rsidP="00823D7B">
            <w:pPr>
              <w:spacing w:before="80" w:after="80"/>
              <w:jc w:val="center"/>
              <w:rPr>
                <w:b/>
                <w:i/>
              </w:rPr>
            </w:pPr>
            <w:r>
              <w:rPr>
                <w:b/>
                <w:i/>
              </w:rPr>
              <w:t>Monthly</w:t>
            </w:r>
          </w:p>
        </w:tc>
        <w:tc>
          <w:tcPr>
            <w:tcW w:w="1034" w:type="dxa"/>
            <w:shd w:val="clear" w:color="auto" w:fill="F2F2F2" w:themeFill="background1" w:themeFillShade="F2"/>
          </w:tcPr>
          <w:p w14:paraId="144249C2" w14:textId="77777777" w:rsidR="00D20123" w:rsidRPr="009E1482" w:rsidRDefault="00D20123" w:rsidP="00823D7B">
            <w:pPr>
              <w:spacing w:before="80" w:after="80"/>
              <w:jc w:val="center"/>
              <w:rPr>
                <w:b/>
                <w:i/>
              </w:rPr>
            </w:pPr>
            <w:r>
              <w:rPr>
                <w:b/>
                <w:i/>
              </w:rPr>
              <w:t>Annual</w:t>
            </w:r>
          </w:p>
        </w:tc>
        <w:tc>
          <w:tcPr>
            <w:tcW w:w="1878" w:type="dxa"/>
            <w:shd w:val="clear" w:color="auto" w:fill="F2F2F2" w:themeFill="background1" w:themeFillShade="F2"/>
          </w:tcPr>
          <w:p w14:paraId="4E144DF3" w14:textId="77777777" w:rsidR="00D20123" w:rsidRPr="009E1482" w:rsidRDefault="00D20123" w:rsidP="00823D7B">
            <w:pPr>
              <w:spacing w:before="80" w:after="80"/>
              <w:jc w:val="center"/>
              <w:rPr>
                <w:b/>
                <w:i/>
              </w:rPr>
            </w:pPr>
            <w:r>
              <w:rPr>
                <w:b/>
                <w:i/>
              </w:rPr>
              <w:t>Comments, remarks</w:t>
            </w:r>
          </w:p>
        </w:tc>
      </w:tr>
      <w:tr w:rsidR="00D23844" w:rsidRPr="009E1482" w14:paraId="59C9F2B2" w14:textId="77777777" w:rsidTr="007751B4">
        <w:tc>
          <w:tcPr>
            <w:tcW w:w="2208" w:type="dxa"/>
          </w:tcPr>
          <w:p w14:paraId="0A261615" w14:textId="0DA9F4EF" w:rsidR="00D20123" w:rsidRPr="009E1482" w:rsidRDefault="00D20123" w:rsidP="00823D7B">
            <w:pPr>
              <w:spacing w:before="80" w:after="80"/>
              <w:jc w:val="both"/>
            </w:pPr>
            <w:r>
              <w:t xml:space="preserve">Processing fee </w:t>
            </w:r>
          </w:p>
        </w:tc>
        <w:tc>
          <w:tcPr>
            <w:tcW w:w="1034" w:type="dxa"/>
          </w:tcPr>
          <w:p w14:paraId="7229DA8C" w14:textId="77777777" w:rsidR="00D20123" w:rsidRPr="009E1482" w:rsidRDefault="00D20123" w:rsidP="00823D7B">
            <w:pPr>
              <w:spacing w:before="80" w:after="80"/>
              <w:jc w:val="both"/>
            </w:pPr>
          </w:p>
        </w:tc>
        <w:tc>
          <w:tcPr>
            <w:tcW w:w="1034" w:type="dxa"/>
            <w:vAlign w:val="center"/>
          </w:tcPr>
          <w:p w14:paraId="4AB23288" w14:textId="77777777" w:rsidR="00D20123" w:rsidRPr="00CD373B" w:rsidRDefault="00D20123" w:rsidP="007751B4">
            <w:pPr>
              <w:pStyle w:val="ListParagraph"/>
              <w:numPr>
                <w:ilvl w:val="0"/>
                <w:numId w:val="8"/>
              </w:numPr>
              <w:spacing w:before="80" w:after="80"/>
              <w:contextualSpacing w:val="0"/>
              <w:jc w:val="center"/>
              <w:rPr>
                <w:b/>
              </w:rPr>
            </w:pPr>
          </w:p>
        </w:tc>
        <w:tc>
          <w:tcPr>
            <w:tcW w:w="1034" w:type="dxa"/>
            <w:vAlign w:val="center"/>
          </w:tcPr>
          <w:p w14:paraId="3149670B" w14:textId="77777777" w:rsidR="00D20123" w:rsidRPr="00CD373B" w:rsidRDefault="00D20123" w:rsidP="007751B4">
            <w:pPr>
              <w:pStyle w:val="ListParagraph"/>
              <w:numPr>
                <w:ilvl w:val="0"/>
                <w:numId w:val="8"/>
              </w:numPr>
              <w:spacing w:before="80" w:after="80"/>
              <w:contextualSpacing w:val="0"/>
              <w:jc w:val="center"/>
              <w:rPr>
                <w:b/>
              </w:rPr>
            </w:pPr>
          </w:p>
        </w:tc>
        <w:tc>
          <w:tcPr>
            <w:tcW w:w="1034" w:type="dxa"/>
            <w:vAlign w:val="center"/>
          </w:tcPr>
          <w:p w14:paraId="6802F074"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53CF7BB7" w14:textId="77777777" w:rsidR="00D20123" w:rsidRPr="009E1482" w:rsidRDefault="00D20123" w:rsidP="00823D7B">
            <w:pPr>
              <w:spacing w:before="80" w:after="80"/>
              <w:jc w:val="both"/>
            </w:pPr>
          </w:p>
        </w:tc>
      </w:tr>
      <w:tr w:rsidR="00D23844" w:rsidRPr="009E1482" w14:paraId="03A3B0EC" w14:textId="77777777" w:rsidTr="007751B4">
        <w:tc>
          <w:tcPr>
            <w:tcW w:w="2208" w:type="dxa"/>
          </w:tcPr>
          <w:p w14:paraId="337080FD" w14:textId="77777777" w:rsidR="00D20123" w:rsidRPr="009E1482" w:rsidRDefault="00D20123" w:rsidP="00823D7B">
            <w:pPr>
              <w:spacing w:before="80" w:after="80"/>
              <w:jc w:val="both"/>
            </w:pPr>
            <w:r>
              <w:t>Administration fee</w:t>
            </w:r>
          </w:p>
        </w:tc>
        <w:tc>
          <w:tcPr>
            <w:tcW w:w="1034" w:type="dxa"/>
          </w:tcPr>
          <w:p w14:paraId="7E113A14" w14:textId="77777777" w:rsidR="00D20123" w:rsidRPr="009E1482" w:rsidRDefault="00D20123" w:rsidP="00823D7B">
            <w:pPr>
              <w:spacing w:before="80" w:after="80"/>
              <w:jc w:val="both"/>
              <w:rPr>
                <w:u w:val="single"/>
              </w:rPr>
            </w:pPr>
          </w:p>
        </w:tc>
        <w:tc>
          <w:tcPr>
            <w:tcW w:w="1034" w:type="dxa"/>
            <w:vAlign w:val="center"/>
          </w:tcPr>
          <w:p w14:paraId="75EE1F1A"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4B2C22CE"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77400423"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6DEBA19B" w14:textId="77777777" w:rsidR="00D20123" w:rsidRPr="009E1482" w:rsidRDefault="00D20123" w:rsidP="00823D7B">
            <w:pPr>
              <w:spacing w:before="80" w:after="80"/>
              <w:jc w:val="both"/>
              <w:rPr>
                <w:u w:val="single"/>
              </w:rPr>
            </w:pPr>
          </w:p>
        </w:tc>
      </w:tr>
      <w:tr w:rsidR="00D23844" w:rsidRPr="009E1482" w14:paraId="17EA3339" w14:textId="77777777" w:rsidTr="007751B4">
        <w:tc>
          <w:tcPr>
            <w:tcW w:w="2208" w:type="dxa"/>
          </w:tcPr>
          <w:p w14:paraId="39C6F9B8" w14:textId="0406822F" w:rsidR="00D20123" w:rsidRPr="009E1482" w:rsidRDefault="00D20123" w:rsidP="00823D7B">
            <w:pPr>
              <w:spacing w:before="80" w:after="80"/>
              <w:jc w:val="both"/>
            </w:pPr>
            <w:r>
              <w:t>Disbursement fee/outward payment fee/draft fee etc</w:t>
            </w:r>
            <w:r w:rsidR="00F546D1">
              <w:t>.</w:t>
            </w:r>
          </w:p>
        </w:tc>
        <w:tc>
          <w:tcPr>
            <w:tcW w:w="1034" w:type="dxa"/>
          </w:tcPr>
          <w:p w14:paraId="2166D339" w14:textId="77777777" w:rsidR="00D20123" w:rsidRPr="009E1482" w:rsidRDefault="00D20123" w:rsidP="00823D7B">
            <w:pPr>
              <w:spacing w:before="80" w:after="80"/>
              <w:jc w:val="both"/>
              <w:rPr>
                <w:u w:val="single"/>
              </w:rPr>
            </w:pPr>
          </w:p>
        </w:tc>
        <w:tc>
          <w:tcPr>
            <w:tcW w:w="1034" w:type="dxa"/>
            <w:vAlign w:val="center"/>
          </w:tcPr>
          <w:p w14:paraId="00C20136"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2DB51D61"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1834E4E3"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403DA4DB" w14:textId="77777777" w:rsidR="00D20123" w:rsidRPr="009E1482" w:rsidRDefault="00D20123" w:rsidP="00823D7B">
            <w:pPr>
              <w:spacing w:before="80" w:after="80"/>
              <w:jc w:val="both"/>
              <w:rPr>
                <w:u w:val="single"/>
              </w:rPr>
            </w:pPr>
          </w:p>
        </w:tc>
      </w:tr>
      <w:tr w:rsidR="00D23844" w:rsidRPr="009E1482" w14:paraId="7ACEF6D8" w14:textId="77777777" w:rsidTr="007751B4">
        <w:tc>
          <w:tcPr>
            <w:tcW w:w="2208" w:type="dxa"/>
          </w:tcPr>
          <w:p w14:paraId="0EBBE2C8" w14:textId="77777777" w:rsidR="00D20123" w:rsidRDefault="00D20123" w:rsidP="00823D7B">
            <w:pPr>
              <w:spacing w:before="80" w:after="80"/>
              <w:jc w:val="both"/>
            </w:pPr>
            <w:r>
              <w:t>Commitment fee</w:t>
            </w:r>
          </w:p>
        </w:tc>
        <w:tc>
          <w:tcPr>
            <w:tcW w:w="1034" w:type="dxa"/>
          </w:tcPr>
          <w:p w14:paraId="58F7DAA9" w14:textId="77777777" w:rsidR="00D20123" w:rsidRPr="009E1482" w:rsidRDefault="00D20123" w:rsidP="00823D7B">
            <w:pPr>
              <w:spacing w:before="80" w:after="80"/>
              <w:jc w:val="both"/>
              <w:rPr>
                <w:u w:val="single"/>
              </w:rPr>
            </w:pPr>
          </w:p>
        </w:tc>
        <w:tc>
          <w:tcPr>
            <w:tcW w:w="1034" w:type="dxa"/>
            <w:vAlign w:val="center"/>
          </w:tcPr>
          <w:p w14:paraId="378C7497"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22618D9D"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138281D3"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10BB4190" w14:textId="77777777" w:rsidR="00D20123" w:rsidRPr="009E1482" w:rsidRDefault="00D20123" w:rsidP="00823D7B">
            <w:pPr>
              <w:spacing w:before="80" w:after="80"/>
              <w:jc w:val="both"/>
              <w:rPr>
                <w:u w:val="single"/>
              </w:rPr>
            </w:pPr>
          </w:p>
        </w:tc>
      </w:tr>
      <w:tr w:rsidR="00D23844" w:rsidRPr="009E1482" w14:paraId="00987CED" w14:textId="77777777" w:rsidTr="007751B4">
        <w:tc>
          <w:tcPr>
            <w:tcW w:w="2208" w:type="dxa"/>
          </w:tcPr>
          <w:p w14:paraId="70E0ABE2" w14:textId="77777777" w:rsidR="00D20123" w:rsidRPr="009E1482" w:rsidRDefault="00D20123" w:rsidP="00823D7B">
            <w:pPr>
              <w:spacing w:before="80" w:after="80"/>
              <w:jc w:val="both"/>
            </w:pPr>
            <w:r>
              <w:t>Fee for amendment of terms (if required)</w:t>
            </w:r>
          </w:p>
        </w:tc>
        <w:tc>
          <w:tcPr>
            <w:tcW w:w="1034" w:type="dxa"/>
          </w:tcPr>
          <w:p w14:paraId="762F0132" w14:textId="77777777" w:rsidR="00D20123" w:rsidRPr="009E1482" w:rsidRDefault="00D20123" w:rsidP="00823D7B">
            <w:pPr>
              <w:spacing w:before="80" w:after="80"/>
              <w:jc w:val="both"/>
              <w:rPr>
                <w:u w:val="single"/>
              </w:rPr>
            </w:pPr>
          </w:p>
        </w:tc>
        <w:tc>
          <w:tcPr>
            <w:tcW w:w="1034" w:type="dxa"/>
            <w:vAlign w:val="center"/>
          </w:tcPr>
          <w:p w14:paraId="044DE45D"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3B3E6760"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6410B26D"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6F99F6A8" w14:textId="77777777" w:rsidR="00D20123" w:rsidRPr="009E1482" w:rsidRDefault="00D20123" w:rsidP="00823D7B">
            <w:pPr>
              <w:spacing w:before="80" w:after="80"/>
              <w:jc w:val="both"/>
              <w:rPr>
                <w:u w:val="single"/>
              </w:rPr>
            </w:pPr>
          </w:p>
        </w:tc>
      </w:tr>
      <w:tr w:rsidR="00D23844" w:rsidRPr="009E1482" w14:paraId="2F7AA7D7" w14:textId="77777777" w:rsidTr="007751B4">
        <w:tc>
          <w:tcPr>
            <w:tcW w:w="2208" w:type="dxa"/>
          </w:tcPr>
          <w:p w14:paraId="74FD472B" w14:textId="77777777" w:rsidR="00D20123" w:rsidRDefault="00D20123" w:rsidP="00823D7B">
            <w:pPr>
              <w:spacing w:before="80" w:after="80"/>
              <w:jc w:val="both"/>
            </w:pPr>
            <w:r>
              <w:t>Early repayment fee</w:t>
            </w:r>
          </w:p>
        </w:tc>
        <w:tc>
          <w:tcPr>
            <w:tcW w:w="1034" w:type="dxa"/>
          </w:tcPr>
          <w:p w14:paraId="33A029DE" w14:textId="77777777" w:rsidR="00D20123" w:rsidRPr="009E1482" w:rsidRDefault="00D20123" w:rsidP="00823D7B">
            <w:pPr>
              <w:spacing w:before="80" w:after="80"/>
              <w:jc w:val="both"/>
              <w:rPr>
                <w:u w:val="single"/>
              </w:rPr>
            </w:pPr>
          </w:p>
        </w:tc>
        <w:tc>
          <w:tcPr>
            <w:tcW w:w="1034" w:type="dxa"/>
            <w:vAlign w:val="center"/>
          </w:tcPr>
          <w:p w14:paraId="22730896"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321D1B4A"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21ACB396"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797242D4" w14:textId="77777777" w:rsidR="00D20123" w:rsidRPr="009E1482" w:rsidRDefault="00D20123" w:rsidP="00823D7B">
            <w:pPr>
              <w:spacing w:before="80" w:after="80"/>
              <w:jc w:val="both"/>
              <w:rPr>
                <w:u w:val="single"/>
              </w:rPr>
            </w:pPr>
          </w:p>
        </w:tc>
      </w:tr>
      <w:tr w:rsidR="00D23844" w:rsidRPr="009E1482" w14:paraId="34010518" w14:textId="77777777" w:rsidTr="007751B4">
        <w:tc>
          <w:tcPr>
            <w:tcW w:w="2208" w:type="dxa"/>
          </w:tcPr>
          <w:p w14:paraId="0F85C172" w14:textId="7317C189" w:rsidR="00D20123" w:rsidRPr="009E1482" w:rsidRDefault="00823D7B" w:rsidP="00823D7B">
            <w:pPr>
              <w:spacing w:before="80" w:after="80"/>
            </w:pPr>
            <w:r>
              <w:t>O</w:t>
            </w:r>
            <w:r w:rsidR="00D20123">
              <w:t>ther fees, if any (please provide details)</w:t>
            </w:r>
          </w:p>
        </w:tc>
        <w:tc>
          <w:tcPr>
            <w:tcW w:w="1034" w:type="dxa"/>
          </w:tcPr>
          <w:p w14:paraId="195AD9D4" w14:textId="77777777" w:rsidR="00D20123" w:rsidRPr="009E1482" w:rsidRDefault="00D20123" w:rsidP="00823D7B">
            <w:pPr>
              <w:spacing w:before="80" w:after="80"/>
              <w:jc w:val="both"/>
              <w:rPr>
                <w:u w:val="single"/>
              </w:rPr>
            </w:pPr>
          </w:p>
        </w:tc>
        <w:tc>
          <w:tcPr>
            <w:tcW w:w="1034" w:type="dxa"/>
            <w:vAlign w:val="center"/>
          </w:tcPr>
          <w:p w14:paraId="4D636252"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78BFC87D" w14:textId="77777777" w:rsidR="00D20123" w:rsidRPr="00CD373B" w:rsidRDefault="00D20123" w:rsidP="007751B4">
            <w:pPr>
              <w:pStyle w:val="ListParagraph"/>
              <w:numPr>
                <w:ilvl w:val="0"/>
                <w:numId w:val="8"/>
              </w:numPr>
              <w:spacing w:before="80" w:after="80"/>
              <w:contextualSpacing w:val="0"/>
              <w:jc w:val="center"/>
              <w:rPr>
                <w:b/>
                <w:u w:val="single"/>
              </w:rPr>
            </w:pPr>
          </w:p>
        </w:tc>
        <w:tc>
          <w:tcPr>
            <w:tcW w:w="1034" w:type="dxa"/>
            <w:vAlign w:val="center"/>
          </w:tcPr>
          <w:p w14:paraId="707B6868" w14:textId="77777777" w:rsidR="00D20123" w:rsidRPr="00CD373B" w:rsidRDefault="00D20123" w:rsidP="007751B4">
            <w:pPr>
              <w:pStyle w:val="ListParagraph"/>
              <w:numPr>
                <w:ilvl w:val="0"/>
                <w:numId w:val="8"/>
              </w:numPr>
              <w:spacing w:before="80" w:after="80"/>
              <w:contextualSpacing w:val="0"/>
              <w:jc w:val="center"/>
              <w:rPr>
                <w:b/>
              </w:rPr>
            </w:pPr>
          </w:p>
        </w:tc>
        <w:tc>
          <w:tcPr>
            <w:tcW w:w="1878" w:type="dxa"/>
          </w:tcPr>
          <w:p w14:paraId="49614781" w14:textId="77777777" w:rsidR="00D20123" w:rsidRPr="009E1482" w:rsidRDefault="00D20123" w:rsidP="00823D7B">
            <w:pPr>
              <w:spacing w:before="80" w:after="80"/>
              <w:jc w:val="both"/>
              <w:rPr>
                <w:u w:val="single"/>
              </w:rPr>
            </w:pPr>
          </w:p>
        </w:tc>
      </w:tr>
    </w:tbl>
    <w:p w14:paraId="262D2C68" w14:textId="7B7DB7BA" w:rsidR="00D20123" w:rsidRDefault="00D20123" w:rsidP="00D20123">
      <w:pPr>
        <w:ind w:left="360"/>
        <w:jc w:val="both"/>
        <w:rPr>
          <w:u w:val="single"/>
        </w:rPr>
      </w:pPr>
    </w:p>
    <w:p w14:paraId="2E0D5E96" w14:textId="42105282" w:rsidR="00D20123" w:rsidRPr="009D4DC9" w:rsidRDefault="00ED5A7E" w:rsidP="00BB08A3">
      <w:pPr>
        <w:pStyle w:val="ListParagraph"/>
        <w:numPr>
          <w:ilvl w:val="0"/>
          <w:numId w:val="7"/>
        </w:numPr>
        <w:spacing w:after="80"/>
        <w:ind w:left="714" w:hanging="357"/>
        <w:contextualSpacing w:val="0"/>
        <w:jc w:val="both"/>
      </w:pPr>
      <w:r>
        <w:t xml:space="preserve">Confirmation or provision of the expected timing for the launch of the FI, upon signing of Operational Agreement if the first week of October 2019 cannot be considered as an appropriate launching date by the Financial Institution. </w:t>
      </w:r>
    </w:p>
    <w:p w14:paraId="51F25AEF" w14:textId="193348C5" w:rsidR="00D20123" w:rsidRPr="009D4DC9" w:rsidRDefault="00D20123" w:rsidP="00BB08A3">
      <w:pPr>
        <w:pStyle w:val="ListParagraph"/>
        <w:numPr>
          <w:ilvl w:val="0"/>
          <w:numId w:val="7"/>
        </w:numPr>
        <w:spacing w:after="80"/>
        <w:ind w:left="714" w:hanging="357"/>
        <w:contextualSpacing w:val="0"/>
        <w:jc w:val="both"/>
      </w:pPr>
      <w:r w:rsidRPr="009D4DC9">
        <w:t>Description of the origin of source used to finance the new loans guaranteed under the FI (e.g. Applicants own resources)</w:t>
      </w:r>
    </w:p>
    <w:p w14:paraId="22B30A6D" w14:textId="77777777" w:rsidR="00D20123" w:rsidRPr="00651982" w:rsidRDefault="00D20123" w:rsidP="00A520ED">
      <w:pPr>
        <w:pStyle w:val="ListParagraph"/>
        <w:numPr>
          <w:ilvl w:val="0"/>
          <w:numId w:val="45"/>
        </w:numPr>
        <w:spacing w:before="40"/>
        <w:ind w:left="1134" w:hanging="357"/>
        <w:contextualSpacing w:val="0"/>
        <w:jc w:val="both"/>
        <w:rPr>
          <w:b/>
        </w:rPr>
      </w:pPr>
      <w:r w:rsidRPr="00651982">
        <w:rPr>
          <w:b/>
        </w:rPr>
        <w:t>Information on Applicant’s IT systems, reporting mechanisms, monitoring procedures and controls, currently utilised in its normal activity (also to be utilised for implementation of the Financial Instrument);</w:t>
      </w:r>
    </w:p>
    <w:p w14:paraId="49A3C24D" w14:textId="0B544DF0" w:rsidR="00D20123" w:rsidRPr="00651982" w:rsidRDefault="00D20123" w:rsidP="00A520ED">
      <w:pPr>
        <w:pStyle w:val="ListParagraph"/>
        <w:numPr>
          <w:ilvl w:val="0"/>
          <w:numId w:val="45"/>
        </w:numPr>
        <w:spacing w:before="40"/>
        <w:ind w:left="1134" w:hanging="357"/>
        <w:contextualSpacing w:val="0"/>
        <w:jc w:val="both"/>
        <w:rPr>
          <w:b/>
        </w:rPr>
      </w:pPr>
      <w:r w:rsidRPr="00651982">
        <w:rPr>
          <w:b/>
        </w:rPr>
        <w:t>Annual reports for the last three financial years, including audited financial statements (only in electronic format i.e. scanned copies of signed audited financial statements)</w:t>
      </w:r>
      <w:r w:rsidR="00F546D1">
        <w:rPr>
          <w:b/>
        </w:rPr>
        <w:t>;</w:t>
      </w:r>
    </w:p>
    <w:p w14:paraId="2A61E17C" w14:textId="6F33A1D8" w:rsidR="00D20123" w:rsidRPr="00651982" w:rsidRDefault="00D20123" w:rsidP="00A520ED">
      <w:pPr>
        <w:pStyle w:val="ListParagraph"/>
        <w:numPr>
          <w:ilvl w:val="0"/>
          <w:numId w:val="45"/>
        </w:numPr>
        <w:spacing w:before="40"/>
        <w:ind w:left="1134" w:hanging="357"/>
        <w:contextualSpacing w:val="0"/>
        <w:jc w:val="both"/>
        <w:rPr>
          <w:b/>
        </w:rPr>
      </w:pPr>
      <w:r w:rsidRPr="00651982">
        <w:rPr>
          <w:b/>
        </w:rPr>
        <w:t xml:space="preserve">Certified copy of banking license or other requisite license or, if not available, other proof of the Applicant’s authorisation allowing for the implementation of the </w:t>
      </w:r>
      <w:r w:rsidR="00375489">
        <w:rPr>
          <w:b/>
        </w:rPr>
        <w:t xml:space="preserve">FI </w:t>
      </w:r>
      <w:r w:rsidRPr="00651982">
        <w:rPr>
          <w:b/>
        </w:rPr>
        <w:t>in Malta;</w:t>
      </w:r>
    </w:p>
    <w:p w14:paraId="08141FE7" w14:textId="5B224F96" w:rsidR="00D20123" w:rsidRPr="00651982" w:rsidRDefault="00D20123" w:rsidP="00A520ED">
      <w:pPr>
        <w:pStyle w:val="ListParagraph"/>
        <w:numPr>
          <w:ilvl w:val="0"/>
          <w:numId w:val="45"/>
        </w:numPr>
        <w:spacing w:before="40"/>
        <w:ind w:left="1134" w:hanging="357"/>
        <w:contextualSpacing w:val="0"/>
        <w:jc w:val="both"/>
        <w:rPr>
          <w:b/>
        </w:rPr>
      </w:pPr>
      <w:r w:rsidRPr="00651982">
        <w:rPr>
          <w:b/>
        </w:rPr>
        <w:t xml:space="preserve">Appropriate evidence of the representative’s authorisation </w:t>
      </w:r>
      <w:r w:rsidR="00651982">
        <w:rPr>
          <w:b/>
        </w:rPr>
        <w:t>to</w:t>
      </w:r>
      <w:r w:rsidRPr="00651982">
        <w:rPr>
          <w:b/>
        </w:rPr>
        <w:t xml:space="preserve"> act for and on behalf of the Applicant (signatory powers);</w:t>
      </w:r>
    </w:p>
    <w:p w14:paraId="071889D5" w14:textId="5DFAE1F6" w:rsidR="00D20123" w:rsidRPr="00651982" w:rsidRDefault="00D20123" w:rsidP="00A520ED">
      <w:pPr>
        <w:pStyle w:val="ListParagraph"/>
        <w:numPr>
          <w:ilvl w:val="0"/>
          <w:numId w:val="45"/>
        </w:numPr>
        <w:spacing w:before="40"/>
        <w:ind w:left="1134" w:hanging="357"/>
        <w:contextualSpacing w:val="0"/>
        <w:jc w:val="both"/>
        <w:rPr>
          <w:b/>
        </w:rPr>
      </w:pPr>
      <w:r w:rsidRPr="00651982">
        <w:rPr>
          <w:b/>
        </w:rPr>
        <w:t>Declaration on absence of conflict of interest as per template provided in Appendix</w:t>
      </w:r>
      <w:r w:rsidR="00E76E62">
        <w:rPr>
          <w:b/>
        </w:rPr>
        <w:t xml:space="preserve"> 1B</w:t>
      </w:r>
      <w:r w:rsidRPr="00651982">
        <w:rPr>
          <w:b/>
        </w:rPr>
        <w:t>, duly signed;</w:t>
      </w:r>
    </w:p>
    <w:p w14:paraId="536C6A99" w14:textId="57ADEB8D" w:rsidR="00D20123" w:rsidRPr="00651982" w:rsidRDefault="00D20123" w:rsidP="00A520ED">
      <w:pPr>
        <w:pStyle w:val="ListParagraph"/>
        <w:numPr>
          <w:ilvl w:val="0"/>
          <w:numId w:val="45"/>
        </w:numPr>
        <w:spacing w:before="40"/>
        <w:ind w:left="1134" w:hanging="357"/>
        <w:contextualSpacing w:val="0"/>
        <w:jc w:val="both"/>
        <w:rPr>
          <w:b/>
        </w:rPr>
      </w:pPr>
      <w:r w:rsidRPr="00651982">
        <w:rPr>
          <w:b/>
        </w:rPr>
        <w:t>Statement regarding situation of exclusion – 1 as per template provided in Appendix</w:t>
      </w:r>
      <w:r w:rsidR="00E76E62">
        <w:rPr>
          <w:b/>
        </w:rPr>
        <w:t xml:space="preserve"> 1C</w:t>
      </w:r>
      <w:r w:rsidRPr="00651982">
        <w:rPr>
          <w:b/>
        </w:rPr>
        <w:t>, duly signed;</w:t>
      </w:r>
    </w:p>
    <w:p w14:paraId="01424E98" w14:textId="07DA5B8A" w:rsidR="00D20123" w:rsidRPr="00651982" w:rsidRDefault="00D20123" w:rsidP="00BB08A3">
      <w:pPr>
        <w:pStyle w:val="ListParagraph"/>
        <w:numPr>
          <w:ilvl w:val="0"/>
          <w:numId w:val="45"/>
        </w:numPr>
        <w:spacing w:before="40" w:after="120"/>
        <w:ind w:left="1134" w:hanging="357"/>
        <w:contextualSpacing w:val="0"/>
        <w:jc w:val="both"/>
        <w:rPr>
          <w:b/>
        </w:rPr>
      </w:pPr>
      <w:r w:rsidRPr="00651982">
        <w:rPr>
          <w:b/>
        </w:rPr>
        <w:t xml:space="preserve">Statement regarding situations of exclusion – 2 as per template provided in Appendix </w:t>
      </w:r>
      <w:r w:rsidR="00E76E62">
        <w:rPr>
          <w:b/>
        </w:rPr>
        <w:t>1D</w:t>
      </w:r>
      <w:r w:rsidRPr="00651982">
        <w:rPr>
          <w:b/>
        </w:rPr>
        <w:t>: Declaration of compliance with Community and National rules and policies, duly signed.</w:t>
      </w:r>
    </w:p>
    <w:p w14:paraId="1D6AB42B" w14:textId="64BE410C" w:rsidR="00D20123" w:rsidRDefault="00BA4360" w:rsidP="00BB08A3">
      <w:pPr>
        <w:spacing w:after="120"/>
        <w:ind w:left="357"/>
        <w:jc w:val="both"/>
      </w:pPr>
      <w:r>
        <w:t xml:space="preserve">MDB will consider </w:t>
      </w:r>
      <w:r w:rsidR="00F20E2A">
        <w:t xml:space="preserve">all those </w:t>
      </w:r>
      <w:r w:rsidR="00A27002">
        <w:t xml:space="preserve">Applicants </w:t>
      </w:r>
      <w:r w:rsidR="00F20E2A">
        <w:t xml:space="preserve">who satisfy the Selection Criteria list </w:t>
      </w:r>
      <w:r>
        <w:t xml:space="preserve">to move on to the second </w:t>
      </w:r>
      <w:r w:rsidR="00F20E2A">
        <w:t>selection process that is the</w:t>
      </w:r>
      <w:r>
        <w:t xml:space="preserve"> Award Criteria. At this stage </w:t>
      </w:r>
      <w:r w:rsidR="00E700A5">
        <w:t>the Applicants</w:t>
      </w:r>
      <w:r w:rsidR="00F20E2A">
        <w:t xml:space="preserve"> </w:t>
      </w:r>
      <w:r w:rsidR="00D20123">
        <w:t xml:space="preserve">may be requested to submit additional information to complement their </w:t>
      </w:r>
      <w:r w:rsidR="004231D3">
        <w:t>Call for Service</w:t>
      </w:r>
      <w:r w:rsidR="00D20123">
        <w:t xml:space="preserve"> before or during the due diligence process. This will indicatively include inter alia:</w:t>
      </w:r>
    </w:p>
    <w:p w14:paraId="218E8C8C" w14:textId="55A256D2" w:rsidR="00D20123" w:rsidRDefault="00D20123" w:rsidP="00D90932">
      <w:pPr>
        <w:pStyle w:val="ListParagraph"/>
        <w:numPr>
          <w:ilvl w:val="0"/>
          <w:numId w:val="9"/>
        </w:numPr>
        <w:jc w:val="both"/>
      </w:pPr>
      <w:r>
        <w:t xml:space="preserve">Detailed information on the Applicant’s operating principles and procedures applied to </w:t>
      </w:r>
      <w:r w:rsidR="00A27002">
        <w:t xml:space="preserve">student </w:t>
      </w:r>
      <w:r>
        <w:t>lending:</w:t>
      </w:r>
    </w:p>
    <w:p w14:paraId="74B28FCD" w14:textId="77777777" w:rsidR="00D20123" w:rsidRDefault="00D20123" w:rsidP="00A520ED">
      <w:pPr>
        <w:pStyle w:val="ListParagraph"/>
        <w:numPr>
          <w:ilvl w:val="0"/>
          <w:numId w:val="10"/>
        </w:numPr>
        <w:spacing w:before="40"/>
        <w:ind w:left="1134" w:hanging="425"/>
        <w:contextualSpacing w:val="0"/>
        <w:jc w:val="both"/>
      </w:pPr>
      <w:r>
        <w:t>Origination;</w:t>
      </w:r>
    </w:p>
    <w:p w14:paraId="0143AD7A" w14:textId="77777777" w:rsidR="00D20123" w:rsidRDefault="00D20123" w:rsidP="00A520ED">
      <w:pPr>
        <w:pStyle w:val="ListParagraph"/>
        <w:numPr>
          <w:ilvl w:val="0"/>
          <w:numId w:val="10"/>
        </w:numPr>
        <w:spacing w:before="40"/>
        <w:ind w:left="1134" w:hanging="425"/>
        <w:contextualSpacing w:val="0"/>
        <w:jc w:val="both"/>
      </w:pPr>
      <w:r>
        <w:t>Risk assessment procedures (internal rating/scoring system/external system used such as CCR);</w:t>
      </w:r>
    </w:p>
    <w:p w14:paraId="1C62DA7E" w14:textId="77777777" w:rsidR="00D20123" w:rsidRDefault="00D20123" w:rsidP="00A520ED">
      <w:pPr>
        <w:pStyle w:val="ListParagraph"/>
        <w:numPr>
          <w:ilvl w:val="0"/>
          <w:numId w:val="10"/>
        </w:numPr>
        <w:spacing w:before="40"/>
        <w:ind w:left="1134" w:hanging="425"/>
        <w:contextualSpacing w:val="0"/>
        <w:jc w:val="both"/>
      </w:pPr>
      <w:r>
        <w:t>Loan approval procedures;</w:t>
      </w:r>
    </w:p>
    <w:p w14:paraId="1764DDF5" w14:textId="77777777" w:rsidR="00D20123" w:rsidRDefault="00D20123" w:rsidP="00A520ED">
      <w:pPr>
        <w:pStyle w:val="ListParagraph"/>
        <w:numPr>
          <w:ilvl w:val="0"/>
          <w:numId w:val="10"/>
        </w:numPr>
        <w:spacing w:before="40"/>
        <w:ind w:left="1134" w:hanging="425"/>
        <w:contextualSpacing w:val="0"/>
        <w:jc w:val="both"/>
      </w:pPr>
      <w:r>
        <w:t>Monitoring and early warning signals;</w:t>
      </w:r>
    </w:p>
    <w:p w14:paraId="13A3B83E" w14:textId="77777777" w:rsidR="00D20123" w:rsidRDefault="00D20123" w:rsidP="00A520ED">
      <w:pPr>
        <w:pStyle w:val="ListParagraph"/>
        <w:numPr>
          <w:ilvl w:val="0"/>
          <w:numId w:val="10"/>
        </w:numPr>
        <w:spacing w:before="40"/>
        <w:ind w:left="1134" w:hanging="425"/>
        <w:contextualSpacing w:val="0"/>
        <w:jc w:val="both"/>
      </w:pPr>
      <w:r>
        <w:t>Recovering procedures (what steps are taken and when; which departments are involved);</w:t>
      </w:r>
    </w:p>
    <w:p w14:paraId="0ADFCF26" w14:textId="77777777" w:rsidR="00D20123" w:rsidRDefault="00D20123" w:rsidP="00A520ED">
      <w:pPr>
        <w:pStyle w:val="ListParagraph"/>
        <w:numPr>
          <w:ilvl w:val="0"/>
          <w:numId w:val="10"/>
        </w:numPr>
        <w:spacing w:before="40"/>
        <w:ind w:left="1134" w:hanging="425"/>
        <w:contextualSpacing w:val="0"/>
        <w:jc w:val="both"/>
      </w:pPr>
      <w:r>
        <w:t>Risk management: methods utilised for loss forecasting, provisioning and credit risk management on portfolio level;</w:t>
      </w:r>
    </w:p>
    <w:p w14:paraId="6066B9E0" w14:textId="70E674ED" w:rsidR="00D20123" w:rsidRDefault="00D20123" w:rsidP="00BB08A3">
      <w:pPr>
        <w:pStyle w:val="ListParagraph"/>
        <w:numPr>
          <w:ilvl w:val="0"/>
          <w:numId w:val="10"/>
        </w:numPr>
        <w:spacing w:before="40" w:after="120"/>
        <w:ind w:left="1134" w:hanging="425"/>
        <w:contextualSpacing w:val="0"/>
        <w:jc w:val="both"/>
      </w:pPr>
      <w:r>
        <w:t xml:space="preserve">Summary of changes to the Financial </w:t>
      </w:r>
      <w:r w:rsidR="007F5C69">
        <w:t>Institution’s</w:t>
      </w:r>
      <w:r>
        <w:t xml:space="preserve"> operating principles and procedures due to the current financial situation.</w:t>
      </w:r>
    </w:p>
    <w:p w14:paraId="5FF5BF02" w14:textId="6D28DAC9" w:rsidR="00D20123" w:rsidRDefault="00D20123" w:rsidP="00D90932">
      <w:pPr>
        <w:pStyle w:val="ListParagraph"/>
        <w:numPr>
          <w:ilvl w:val="0"/>
          <w:numId w:val="9"/>
        </w:numPr>
        <w:jc w:val="both"/>
      </w:pPr>
      <w:r>
        <w:t xml:space="preserve">Information on the Applicant’s total lending portfolio over the last </w:t>
      </w:r>
      <w:r w:rsidR="00A27002">
        <w:t>three (</w:t>
      </w:r>
      <w:r w:rsidRPr="009D4DC9">
        <w:t>3</w:t>
      </w:r>
      <w:r w:rsidR="00A27002">
        <w:t>)</w:t>
      </w:r>
      <w:r w:rsidRPr="009D4DC9">
        <w:t xml:space="preserve"> financial years</w:t>
      </w:r>
      <w:r>
        <w:t>:</w:t>
      </w:r>
    </w:p>
    <w:p w14:paraId="71AD9A7F" w14:textId="77777777" w:rsidR="00D20123" w:rsidRDefault="00D20123" w:rsidP="00BB08A3">
      <w:pPr>
        <w:pStyle w:val="ListParagraph"/>
        <w:numPr>
          <w:ilvl w:val="0"/>
          <w:numId w:val="11"/>
        </w:numPr>
        <w:spacing w:before="40"/>
        <w:ind w:left="1077" w:hanging="357"/>
        <w:contextualSpacing w:val="0"/>
        <w:jc w:val="both"/>
      </w:pPr>
      <w:r>
        <w:t>Composition and concentration of the outstanding loan portfolio;</w:t>
      </w:r>
    </w:p>
    <w:p w14:paraId="2C0CF41F" w14:textId="185841FC" w:rsidR="00D20123" w:rsidRDefault="00D20123" w:rsidP="00BB08A3">
      <w:pPr>
        <w:pStyle w:val="ListParagraph"/>
        <w:numPr>
          <w:ilvl w:val="0"/>
          <w:numId w:val="11"/>
        </w:numPr>
        <w:spacing w:before="40"/>
        <w:ind w:left="1077" w:hanging="357"/>
        <w:contextualSpacing w:val="0"/>
        <w:jc w:val="both"/>
      </w:pPr>
      <w:r>
        <w:t>Non-performing loans (outstanding non-performing loans/outstanding loan amount) as of the end of each financial year and year to date data for the current year) for the past five</w:t>
      </w:r>
      <w:r w:rsidR="00A27002">
        <w:t xml:space="preserve"> (5)</w:t>
      </w:r>
      <w:r>
        <w:t xml:space="preserve"> financial years – both in terms of number and volume; (such information is required on consumer credit facilities only divided into two sections – secured and unsecured) – both in terms of number and volume.</w:t>
      </w:r>
    </w:p>
    <w:p w14:paraId="07FE1804" w14:textId="77777777" w:rsidR="00D20123" w:rsidRDefault="00D20123" w:rsidP="00BB08A3">
      <w:pPr>
        <w:pStyle w:val="ListParagraph"/>
        <w:numPr>
          <w:ilvl w:val="0"/>
          <w:numId w:val="11"/>
        </w:numPr>
        <w:spacing w:before="40"/>
        <w:ind w:left="1077" w:hanging="357"/>
        <w:contextualSpacing w:val="0"/>
        <w:jc w:val="both"/>
      </w:pPr>
      <w:r>
        <w:t>Annual defaults of consumer credit facilities, net losses and bad debt provisions;</w:t>
      </w:r>
    </w:p>
    <w:p w14:paraId="14073E5D" w14:textId="78AF1F2D" w:rsidR="009856D3" w:rsidRDefault="00D20123" w:rsidP="00D508AA">
      <w:pPr>
        <w:pStyle w:val="ListParagraph"/>
        <w:numPr>
          <w:ilvl w:val="0"/>
          <w:numId w:val="11"/>
        </w:numPr>
        <w:spacing w:before="40"/>
        <w:ind w:left="1077" w:hanging="357"/>
        <w:contextualSpacing w:val="0"/>
        <w:jc w:val="both"/>
      </w:pPr>
      <w:r>
        <w:t>Recoveries and recovery periods for consumer credit facilities.</w:t>
      </w:r>
    </w:p>
    <w:p w14:paraId="0D7BFD55" w14:textId="6154FE31" w:rsidR="00A27002" w:rsidRDefault="00A27002" w:rsidP="00A27002">
      <w:pPr>
        <w:pStyle w:val="ListParagraph"/>
        <w:ind w:left="2160"/>
        <w:jc w:val="both"/>
      </w:pPr>
    </w:p>
    <w:p w14:paraId="1FD72B2C" w14:textId="263A5588" w:rsidR="003B5166" w:rsidRDefault="006F4C48" w:rsidP="003B5166">
      <w:pPr>
        <w:pStyle w:val="ListParagraph"/>
        <w:numPr>
          <w:ilvl w:val="0"/>
          <w:numId w:val="2"/>
        </w:numPr>
        <w:spacing w:after="120"/>
        <w:ind w:left="425" w:hanging="425"/>
        <w:contextualSpacing w:val="0"/>
        <w:jc w:val="both"/>
        <w:rPr>
          <w:b/>
        </w:rPr>
      </w:pPr>
      <w:proofErr w:type="spellStart"/>
      <w:r>
        <w:rPr>
          <w:b/>
        </w:rPr>
        <w:t>Wolfsb</w:t>
      </w:r>
      <w:r w:rsidR="002C5316">
        <w:rPr>
          <w:b/>
        </w:rPr>
        <w:t>e</w:t>
      </w:r>
      <w:r>
        <w:rPr>
          <w:b/>
        </w:rPr>
        <w:t>rg</w:t>
      </w:r>
      <w:proofErr w:type="spellEnd"/>
      <w:r w:rsidR="003B5166">
        <w:rPr>
          <w:b/>
        </w:rPr>
        <w:t xml:space="preserve"> Questionnaire</w:t>
      </w:r>
      <w:r w:rsidR="003B5166" w:rsidRPr="00E95B98">
        <w:rPr>
          <w:b/>
        </w:rPr>
        <w:t>:</w:t>
      </w:r>
    </w:p>
    <w:p w14:paraId="5C458DE9" w14:textId="24AF6E16" w:rsidR="003B5166" w:rsidRPr="003B5166" w:rsidRDefault="003B5166" w:rsidP="003B5166">
      <w:pPr>
        <w:pStyle w:val="ListParagraph"/>
        <w:spacing w:after="120"/>
        <w:ind w:left="425"/>
        <w:contextualSpacing w:val="0"/>
        <w:jc w:val="both"/>
      </w:pPr>
      <w:r>
        <w:t xml:space="preserve">The Applicant is kindly requested to full in the </w:t>
      </w:r>
      <w:proofErr w:type="spellStart"/>
      <w:r w:rsidR="006F4C48">
        <w:t>Wolfsb</w:t>
      </w:r>
      <w:r w:rsidR="002C5316">
        <w:t>e</w:t>
      </w:r>
      <w:r w:rsidR="006F4C48">
        <w:t>rg</w:t>
      </w:r>
      <w:proofErr w:type="spellEnd"/>
      <w:r>
        <w:t xml:space="preserve"> Questionnaire which is available on the MDB’s web site as </w:t>
      </w:r>
      <w:r w:rsidRPr="002C5316">
        <w:rPr>
          <w:b/>
        </w:rPr>
        <w:t xml:space="preserve">Attachment B to the </w:t>
      </w:r>
      <w:r w:rsidR="002C5316">
        <w:rPr>
          <w:b/>
        </w:rPr>
        <w:t>C</w:t>
      </w:r>
      <w:r w:rsidRPr="002C5316">
        <w:rPr>
          <w:b/>
        </w:rPr>
        <w:t>all</w:t>
      </w:r>
      <w:r>
        <w:t>.</w:t>
      </w:r>
    </w:p>
    <w:p w14:paraId="14A883DB" w14:textId="77777777" w:rsidR="003B5166" w:rsidRDefault="003B5166" w:rsidP="00A27002">
      <w:pPr>
        <w:pStyle w:val="ListParagraph"/>
        <w:ind w:left="2160"/>
        <w:jc w:val="both"/>
      </w:pPr>
    </w:p>
    <w:p w14:paraId="68B25FF2" w14:textId="4DEB1596" w:rsidR="00A27002" w:rsidRPr="00E95B98" w:rsidRDefault="00A27002" w:rsidP="00A27002">
      <w:pPr>
        <w:pStyle w:val="ListParagraph"/>
        <w:numPr>
          <w:ilvl w:val="0"/>
          <w:numId w:val="2"/>
        </w:numPr>
        <w:spacing w:after="120"/>
        <w:ind w:left="425" w:hanging="425"/>
        <w:contextualSpacing w:val="0"/>
        <w:jc w:val="both"/>
        <w:rPr>
          <w:b/>
        </w:rPr>
      </w:pPr>
      <w:r>
        <w:rPr>
          <w:b/>
        </w:rPr>
        <w:t>Application Identification</w:t>
      </w:r>
    </w:p>
    <w:p w14:paraId="710DE2AB" w14:textId="77777777" w:rsidR="00D20123" w:rsidRDefault="00D20123" w:rsidP="00BB08A3">
      <w:pPr>
        <w:pStyle w:val="ListParagraph"/>
        <w:numPr>
          <w:ilvl w:val="1"/>
          <w:numId w:val="25"/>
        </w:numPr>
        <w:spacing w:after="120" w:line="259" w:lineRule="auto"/>
        <w:ind w:left="357" w:hanging="357"/>
        <w:contextualSpacing w:val="0"/>
        <w:jc w:val="both"/>
      </w:pPr>
      <w:r>
        <w:t>Application identification</w:t>
      </w:r>
    </w:p>
    <w:tbl>
      <w:tblPr>
        <w:tblStyle w:val="TableGrid"/>
        <w:tblW w:w="0" w:type="auto"/>
        <w:tblInd w:w="360" w:type="dxa"/>
        <w:tblLook w:val="04A0" w:firstRow="1" w:lastRow="0" w:firstColumn="1" w:lastColumn="0" w:noHBand="0" w:noVBand="1"/>
      </w:tblPr>
      <w:tblGrid>
        <w:gridCol w:w="4335"/>
        <w:gridCol w:w="4321"/>
      </w:tblGrid>
      <w:tr w:rsidR="00D20123" w:rsidRPr="008748FE" w14:paraId="53490F01" w14:textId="77777777" w:rsidTr="00BB08A3">
        <w:tc>
          <w:tcPr>
            <w:tcW w:w="8656" w:type="dxa"/>
            <w:gridSpan w:val="2"/>
            <w:shd w:val="clear" w:color="auto" w:fill="F2F2F2" w:themeFill="background1" w:themeFillShade="F2"/>
          </w:tcPr>
          <w:p w14:paraId="3CBDAAAA" w14:textId="77777777" w:rsidR="00D20123" w:rsidRPr="008748FE" w:rsidRDefault="00D20123" w:rsidP="00BB08A3">
            <w:pPr>
              <w:pStyle w:val="ListParagraph"/>
              <w:spacing w:before="80" w:after="80"/>
              <w:ind w:left="0"/>
              <w:contextualSpacing w:val="0"/>
              <w:jc w:val="both"/>
              <w:rPr>
                <w:b/>
              </w:rPr>
            </w:pPr>
            <w:r w:rsidRPr="008748FE">
              <w:rPr>
                <w:b/>
              </w:rPr>
              <w:t>INFORMATION REQUIRED</w:t>
            </w:r>
          </w:p>
        </w:tc>
      </w:tr>
      <w:tr w:rsidR="00D20123" w14:paraId="66599DBE" w14:textId="77777777" w:rsidTr="00630037">
        <w:tc>
          <w:tcPr>
            <w:tcW w:w="4335" w:type="dxa"/>
          </w:tcPr>
          <w:p w14:paraId="34D16BA3"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APPLICANT’S NAME</w:t>
            </w:r>
          </w:p>
        </w:tc>
        <w:tc>
          <w:tcPr>
            <w:tcW w:w="4321" w:type="dxa"/>
          </w:tcPr>
          <w:p w14:paraId="611B109F" w14:textId="77777777" w:rsidR="00D20123" w:rsidRDefault="00D20123" w:rsidP="00BB08A3">
            <w:pPr>
              <w:pStyle w:val="ListParagraph"/>
              <w:spacing w:before="80" w:after="80"/>
              <w:ind w:left="0"/>
              <w:contextualSpacing w:val="0"/>
              <w:jc w:val="both"/>
            </w:pPr>
          </w:p>
        </w:tc>
      </w:tr>
      <w:tr w:rsidR="00D20123" w14:paraId="1B656E8D" w14:textId="77777777" w:rsidTr="00630037">
        <w:tc>
          <w:tcPr>
            <w:tcW w:w="4335" w:type="dxa"/>
          </w:tcPr>
          <w:p w14:paraId="17057724"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CONTACT DETAILS</w:t>
            </w:r>
          </w:p>
        </w:tc>
        <w:tc>
          <w:tcPr>
            <w:tcW w:w="4321" w:type="dxa"/>
          </w:tcPr>
          <w:p w14:paraId="47B84FE2"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Address:</w:t>
            </w:r>
          </w:p>
          <w:p w14:paraId="04DD6699"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Telephone:</w:t>
            </w:r>
          </w:p>
          <w:p w14:paraId="3CB5B8B9"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Fax:</w:t>
            </w:r>
          </w:p>
          <w:p w14:paraId="227C7371" w14:textId="77777777" w:rsidR="00D20123" w:rsidRDefault="00D20123" w:rsidP="00BB08A3">
            <w:pPr>
              <w:pStyle w:val="ListParagraph"/>
              <w:spacing w:before="80" w:after="80"/>
              <w:ind w:left="0"/>
              <w:contextualSpacing w:val="0"/>
              <w:jc w:val="both"/>
            </w:pPr>
            <w:r w:rsidRPr="008748FE">
              <w:rPr>
                <w:sz w:val="16"/>
                <w:szCs w:val="16"/>
              </w:rPr>
              <w:t>Email:</w:t>
            </w:r>
          </w:p>
        </w:tc>
      </w:tr>
      <w:tr w:rsidR="00D20123" w14:paraId="4A4FBAAB" w14:textId="77777777" w:rsidTr="009856D3">
        <w:trPr>
          <w:trHeight w:val="52"/>
        </w:trPr>
        <w:tc>
          <w:tcPr>
            <w:tcW w:w="4335" w:type="dxa"/>
          </w:tcPr>
          <w:p w14:paraId="1D4EC90D"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COMMERCIAL REGISTER, ETC.- REGISTRATION DETAILS</w:t>
            </w:r>
          </w:p>
        </w:tc>
        <w:tc>
          <w:tcPr>
            <w:tcW w:w="4321" w:type="dxa"/>
          </w:tcPr>
          <w:p w14:paraId="7283C98B"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Denomination of register:</w:t>
            </w:r>
          </w:p>
          <w:p w14:paraId="44D7C0D2"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Date of registration:</w:t>
            </w:r>
          </w:p>
          <w:p w14:paraId="240D24B6"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Country of Registration:</w:t>
            </w:r>
          </w:p>
          <w:p w14:paraId="27462D97" w14:textId="77777777" w:rsidR="00D20123" w:rsidRDefault="00D20123" w:rsidP="00BB08A3">
            <w:pPr>
              <w:pStyle w:val="ListParagraph"/>
              <w:spacing w:before="80" w:after="80"/>
              <w:ind w:left="0"/>
              <w:contextualSpacing w:val="0"/>
              <w:jc w:val="both"/>
            </w:pPr>
            <w:r w:rsidRPr="008748FE">
              <w:rPr>
                <w:sz w:val="16"/>
                <w:szCs w:val="16"/>
              </w:rPr>
              <w:t>Registration number:</w:t>
            </w:r>
          </w:p>
        </w:tc>
      </w:tr>
      <w:tr w:rsidR="00D20123" w14:paraId="4316A3A5" w14:textId="77777777" w:rsidTr="00630037">
        <w:tc>
          <w:tcPr>
            <w:tcW w:w="4335" w:type="dxa"/>
          </w:tcPr>
          <w:p w14:paraId="6FB91087"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VAT</w:t>
            </w:r>
          </w:p>
        </w:tc>
        <w:tc>
          <w:tcPr>
            <w:tcW w:w="4321" w:type="dxa"/>
          </w:tcPr>
          <w:p w14:paraId="29BC0627"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Registration number:</w:t>
            </w:r>
          </w:p>
          <w:p w14:paraId="2D44CA6E" w14:textId="3EE6B185" w:rsidR="00D20123" w:rsidRDefault="00D20123" w:rsidP="00BB08A3">
            <w:pPr>
              <w:pStyle w:val="ListParagraph"/>
              <w:spacing w:before="80" w:after="80"/>
              <w:ind w:left="0"/>
              <w:contextualSpacing w:val="0"/>
              <w:jc w:val="both"/>
            </w:pPr>
            <w:r w:rsidRPr="008748FE">
              <w:rPr>
                <w:sz w:val="16"/>
                <w:szCs w:val="16"/>
              </w:rPr>
              <w:t>Or Statement of exemption issued by the national VAT authority dated ………</w:t>
            </w:r>
            <w:r w:rsidR="00217827">
              <w:rPr>
                <w:sz w:val="16"/>
                <w:szCs w:val="16"/>
              </w:rPr>
              <w:t>….</w:t>
            </w:r>
            <w:proofErr w:type="gramStart"/>
            <w:r w:rsidRPr="008748FE">
              <w:rPr>
                <w:sz w:val="16"/>
                <w:szCs w:val="16"/>
              </w:rPr>
              <w:t>…./</w:t>
            </w:r>
            <w:proofErr w:type="gramEnd"/>
            <w:r w:rsidRPr="008748FE">
              <w:rPr>
                <w:sz w:val="16"/>
                <w:szCs w:val="16"/>
              </w:rPr>
              <w:t>issued by ………………. And enclosed under reference ………………….</w:t>
            </w:r>
          </w:p>
        </w:tc>
      </w:tr>
    </w:tbl>
    <w:p w14:paraId="5690C7EF" w14:textId="73D2DB53" w:rsidR="00D20123" w:rsidRDefault="00D20123" w:rsidP="00D20123">
      <w:pPr>
        <w:pStyle w:val="ListParagraph"/>
        <w:ind w:left="360"/>
        <w:jc w:val="both"/>
      </w:pPr>
    </w:p>
    <w:p w14:paraId="7B34E919" w14:textId="77777777" w:rsidR="00BB08A3" w:rsidRDefault="00BB08A3" w:rsidP="00D20123">
      <w:pPr>
        <w:pStyle w:val="ListParagraph"/>
        <w:ind w:left="360"/>
        <w:jc w:val="both"/>
      </w:pPr>
    </w:p>
    <w:p w14:paraId="0B52F13F" w14:textId="5A32F060" w:rsidR="00D20123" w:rsidRDefault="00D20123" w:rsidP="00BB08A3">
      <w:pPr>
        <w:pStyle w:val="ListParagraph"/>
        <w:numPr>
          <w:ilvl w:val="1"/>
          <w:numId w:val="25"/>
        </w:numPr>
        <w:spacing w:after="120" w:line="259" w:lineRule="auto"/>
        <w:ind w:left="357" w:hanging="357"/>
        <w:contextualSpacing w:val="0"/>
        <w:jc w:val="both"/>
      </w:pPr>
      <w:r>
        <w:t xml:space="preserve">Person authorised to submit the </w:t>
      </w:r>
      <w:r w:rsidR="004231D3">
        <w:t>Call for Service</w:t>
      </w:r>
      <w:r>
        <w:t xml:space="preserve"> on behalf of the Applicant and appropriate evidence of such authorisation.</w:t>
      </w:r>
    </w:p>
    <w:tbl>
      <w:tblPr>
        <w:tblStyle w:val="TableGrid"/>
        <w:tblW w:w="0" w:type="auto"/>
        <w:tblInd w:w="360" w:type="dxa"/>
        <w:tblLook w:val="04A0" w:firstRow="1" w:lastRow="0" w:firstColumn="1" w:lastColumn="0" w:noHBand="0" w:noVBand="1"/>
      </w:tblPr>
      <w:tblGrid>
        <w:gridCol w:w="4324"/>
        <w:gridCol w:w="4332"/>
      </w:tblGrid>
      <w:tr w:rsidR="00D20123" w:rsidRPr="008748FE" w14:paraId="2AF189CE" w14:textId="77777777" w:rsidTr="00BB08A3">
        <w:tc>
          <w:tcPr>
            <w:tcW w:w="8656" w:type="dxa"/>
            <w:gridSpan w:val="2"/>
            <w:shd w:val="clear" w:color="auto" w:fill="F2F2F2" w:themeFill="background1" w:themeFillShade="F2"/>
          </w:tcPr>
          <w:p w14:paraId="07FDB410" w14:textId="77777777" w:rsidR="00D20123" w:rsidRPr="008748FE" w:rsidRDefault="00D20123" w:rsidP="00BB08A3">
            <w:pPr>
              <w:pStyle w:val="ListParagraph"/>
              <w:spacing w:before="80" w:after="80"/>
              <w:ind w:left="0"/>
              <w:contextualSpacing w:val="0"/>
              <w:jc w:val="both"/>
              <w:rPr>
                <w:b/>
              </w:rPr>
            </w:pPr>
            <w:r w:rsidRPr="008748FE">
              <w:rPr>
                <w:b/>
              </w:rPr>
              <w:t>INFORMATION REQUIRED</w:t>
            </w:r>
          </w:p>
        </w:tc>
      </w:tr>
      <w:tr w:rsidR="00D20123" w14:paraId="398CCFE8" w14:textId="77777777" w:rsidTr="00630037">
        <w:tc>
          <w:tcPr>
            <w:tcW w:w="4324" w:type="dxa"/>
          </w:tcPr>
          <w:p w14:paraId="0F405BF6" w14:textId="77777777" w:rsidR="00D20123" w:rsidRPr="008748FE" w:rsidRDefault="00D20123" w:rsidP="00BB08A3">
            <w:pPr>
              <w:pStyle w:val="ListParagraph"/>
              <w:spacing w:before="80" w:after="80"/>
              <w:ind w:left="0"/>
              <w:contextualSpacing w:val="0"/>
              <w:jc w:val="both"/>
              <w:rPr>
                <w:sz w:val="20"/>
                <w:szCs w:val="20"/>
              </w:rPr>
            </w:pPr>
            <w:r>
              <w:rPr>
                <w:sz w:val="20"/>
                <w:szCs w:val="20"/>
              </w:rPr>
              <w:t>TITLE</w:t>
            </w:r>
          </w:p>
        </w:tc>
        <w:tc>
          <w:tcPr>
            <w:tcW w:w="4332" w:type="dxa"/>
          </w:tcPr>
          <w:p w14:paraId="3314A1B8"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Mr/Mrs/other (delete or complete as appropriate)</w:t>
            </w:r>
          </w:p>
        </w:tc>
      </w:tr>
      <w:tr w:rsidR="00D20123" w14:paraId="5BA318A2" w14:textId="77777777" w:rsidTr="00630037">
        <w:tc>
          <w:tcPr>
            <w:tcW w:w="4324" w:type="dxa"/>
          </w:tcPr>
          <w:p w14:paraId="6A10DCBB" w14:textId="77777777" w:rsidR="00D20123" w:rsidRDefault="00D20123" w:rsidP="00BB08A3">
            <w:pPr>
              <w:pStyle w:val="ListParagraph"/>
              <w:spacing w:before="80" w:after="80"/>
              <w:ind w:left="0"/>
              <w:contextualSpacing w:val="0"/>
              <w:jc w:val="both"/>
              <w:rPr>
                <w:sz w:val="20"/>
                <w:szCs w:val="20"/>
              </w:rPr>
            </w:pPr>
            <w:r>
              <w:rPr>
                <w:sz w:val="20"/>
                <w:szCs w:val="20"/>
              </w:rPr>
              <w:t>NAME</w:t>
            </w:r>
          </w:p>
        </w:tc>
        <w:tc>
          <w:tcPr>
            <w:tcW w:w="4332" w:type="dxa"/>
          </w:tcPr>
          <w:p w14:paraId="23F0EFE4"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Surname:</w:t>
            </w:r>
          </w:p>
          <w:p w14:paraId="6D2FBE44"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Forename(s):</w:t>
            </w:r>
          </w:p>
        </w:tc>
      </w:tr>
      <w:tr w:rsidR="00D20123" w14:paraId="2D8EE969" w14:textId="77777777" w:rsidTr="00630037">
        <w:tc>
          <w:tcPr>
            <w:tcW w:w="4324" w:type="dxa"/>
          </w:tcPr>
          <w:p w14:paraId="1AF4E847"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CONTACT DETAILS</w:t>
            </w:r>
          </w:p>
        </w:tc>
        <w:tc>
          <w:tcPr>
            <w:tcW w:w="4332" w:type="dxa"/>
          </w:tcPr>
          <w:p w14:paraId="407FB513"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Address:</w:t>
            </w:r>
          </w:p>
          <w:p w14:paraId="7E52661A"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Telephone:</w:t>
            </w:r>
          </w:p>
          <w:p w14:paraId="3A23E93C"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Fax:</w:t>
            </w:r>
          </w:p>
          <w:p w14:paraId="0EB76AF5" w14:textId="77777777" w:rsidR="00D20123" w:rsidRDefault="00D20123" w:rsidP="00BB08A3">
            <w:pPr>
              <w:pStyle w:val="ListParagraph"/>
              <w:spacing w:before="80" w:after="80"/>
              <w:ind w:left="0"/>
              <w:contextualSpacing w:val="0"/>
              <w:jc w:val="both"/>
            </w:pPr>
            <w:r w:rsidRPr="008748FE">
              <w:rPr>
                <w:sz w:val="16"/>
                <w:szCs w:val="16"/>
              </w:rPr>
              <w:t>Email:</w:t>
            </w:r>
          </w:p>
        </w:tc>
      </w:tr>
      <w:tr w:rsidR="00D20123" w14:paraId="08E019B1" w14:textId="77777777" w:rsidTr="00630037">
        <w:tc>
          <w:tcPr>
            <w:tcW w:w="4324" w:type="dxa"/>
          </w:tcPr>
          <w:p w14:paraId="5E9D21A8" w14:textId="77777777" w:rsidR="00D20123" w:rsidRPr="008748FE" w:rsidRDefault="00D20123" w:rsidP="00BB08A3">
            <w:pPr>
              <w:pStyle w:val="ListParagraph"/>
              <w:spacing w:before="80" w:after="80"/>
              <w:ind w:left="0"/>
              <w:contextualSpacing w:val="0"/>
              <w:jc w:val="both"/>
              <w:rPr>
                <w:sz w:val="20"/>
                <w:szCs w:val="20"/>
              </w:rPr>
            </w:pPr>
            <w:r>
              <w:rPr>
                <w:sz w:val="20"/>
                <w:szCs w:val="20"/>
              </w:rPr>
              <w:t>FUNCTION</w:t>
            </w:r>
          </w:p>
        </w:tc>
        <w:tc>
          <w:tcPr>
            <w:tcW w:w="4332" w:type="dxa"/>
          </w:tcPr>
          <w:p w14:paraId="4D2112EE" w14:textId="77777777" w:rsidR="00D20123" w:rsidRDefault="00D20123" w:rsidP="00BB08A3">
            <w:pPr>
              <w:pStyle w:val="ListParagraph"/>
              <w:spacing w:before="80" w:after="80"/>
              <w:ind w:left="0"/>
              <w:contextualSpacing w:val="0"/>
              <w:jc w:val="both"/>
            </w:pPr>
          </w:p>
        </w:tc>
      </w:tr>
    </w:tbl>
    <w:p w14:paraId="18465DFD" w14:textId="77777777" w:rsidR="00D20123" w:rsidRDefault="00D20123" w:rsidP="00D20123">
      <w:pPr>
        <w:pStyle w:val="ListParagraph"/>
        <w:ind w:left="360"/>
        <w:jc w:val="both"/>
      </w:pPr>
    </w:p>
    <w:p w14:paraId="70C62F61" w14:textId="77777777" w:rsidR="00333DF8" w:rsidRDefault="00333DF8" w:rsidP="00D20123">
      <w:pPr>
        <w:pStyle w:val="ListParagraph"/>
        <w:ind w:left="360"/>
        <w:jc w:val="both"/>
      </w:pPr>
    </w:p>
    <w:p w14:paraId="688049EC" w14:textId="77777777" w:rsidR="00D20123" w:rsidRDefault="00D20123" w:rsidP="00D90932">
      <w:pPr>
        <w:pStyle w:val="ListParagraph"/>
        <w:numPr>
          <w:ilvl w:val="1"/>
          <w:numId w:val="25"/>
        </w:numPr>
        <w:spacing w:after="160" w:line="259" w:lineRule="auto"/>
        <w:jc w:val="both"/>
      </w:pPr>
      <w:r>
        <w:t>Contact person (if different from 1.2</w:t>
      </w:r>
    </w:p>
    <w:tbl>
      <w:tblPr>
        <w:tblStyle w:val="TableGrid"/>
        <w:tblW w:w="0" w:type="auto"/>
        <w:tblInd w:w="360" w:type="dxa"/>
        <w:tblLook w:val="04A0" w:firstRow="1" w:lastRow="0" w:firstColumn="1" w:lastColumn="0" w:noHBand="0" w:noVBand="1"/>
      </w:tblPr>
      <w:tblGrid>
        <w:gridCol w:w="4324"/>
        <w:gridCol w:w="4332"/>
      </w:tblGrid>
      <w:tr w:rsidR="00D20123" w:rsidRPr="008748FE" w14:paraId="61577811" w14:textId="77777777" w:rsidTr="00BB08A3">
        <w:tc>
          <w:tcPr>
            <w:tcW w:w="8656" w:type="dxa"/>
            <w:gridSpan w:val="2"/>
            <w:shd w:val="clear" w:color="auto" w:fill="F2F2F2" w:themeFill="background1" w:themeFillShade="F2"/>
          </w:tcPr>
          <w:p w14:paraId="1CA0D6A7" w14:textId="77777777" w:rsidR="00D20123" w:rsidRPr="008748FE" w:rsidRDefault="00D20123" w:rsidP="00BB08A3">
            <w:pPr>
              <w:spacing w:before="80" w:after="80"/>
              <w:jc w:val="both"/>
              <w:rPr>
                <w:b/>
              </w:rPr>
            </w:pPr>
            <w:r w:rsidRPr="008748FE">
              <w:rPr>
                <w:b/>
              </w:rPr>
              <w:t>INFORMATION REQUIRED</w:t>
            </w:r>
          </w:p>
        </w:tc>
      </w:tr>
      <w:tr w:rsidR="00D20123" w14:paraId="51F22C1F" w14:textId="77777777" w:rsidTr="00630037">
        <w:tc>
          <w:tcPr>
            <w:tcW w:w="4324" w:type="dxa"/>
          </w:tcPr>
          <w:p w14:paraId="73A6153D" w14:textId="77777777" w:rsidR="00D20123" w:rsidRPr="008748FE" w:rsidRDefault="00D20123" w:rsidP="00BB08A3">
            <w:pPr>
              <w:pStyle w:val="ListParagraph"/>
              <w:spacing w:before="80" w:after="80"/>
              <w:ind w:left="0"/>
              <w:contextualSpacing w:val="0"/>
              <w:jc w:val="both"/>
              <w:rPr>
                <w:sz w:val="20"/>
                <w:szCs w:val="20"/>
              </w:rPr>
            </w:pPr>
            <w:r>
              <w:rPr>
                <w:sz w:val="20"/>
                <w:szCs w:val="20"/>
              </w:rPr>
              <w:t>TITLE</w:t>
            </w:r>
          </w:p>
        </w:tc>
        <w:tc>
          <w:tcPr>
            <w:tcW w:w="4332" w:type="dxa"/>
          </w:tcPr>
          <w:p w14:paraId="4589C909"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Mr/Mrs/other (delete or complete as appropriate)</w:t>
            </w:r>
          </w:p>
        </w:tc>
      </w:tr>
      <w:tr w:rsidR="00D20123" w14:paraId="08A0C686" w14:textId="77777777" w:rsidTr="00630037">
        <w:tc>
          <w:tcPr>
            <w:tcW w:w="4324" w:type="dxa"/>
          </w:tcPr>
          <w:p w14:paraId="52937089" w14:textId="77777777" w:rsidR="00D20123" w:rsidRDefault="00D20123" w:rsidP="00BB08A3">
            <w:pPr>
              <w:pStyle w:val="ListParagraph"/>
              <w:spacing w:before="80" w:after="80"/>
              <w:ind w:left="0"/>
              <w:contextualSpacing w:val="0"/>
              <w:jc w:val="both"/>
              <w:rPr>
                <w:sz w:val="20"/>
                <w:szCs w:val="20"/>
              </w:rPr>
            </w:pPr>
            <w:r>
              <w:rPr>
                <w:sz w:val="20"/>
                <w:szCs w:val="20"/>
              </w:rPr>
              <w:t>NAME</w:t>
            </w:r>
          </w:p>
        </w:tc>
        <w:tc>
          <w:tcPr>
            <w:tcW w:w="4332" w:type="dxa"/>
          </w:tcPr>
          <w:p w14:paraId="7D511859"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Surname:</w:t>
            </w:r>
          </w:p>
          <w:p w14:paraId="2B2013B5"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Forename(s):</w:t>
            </w:r>
          </w:p>
        </w:tc>
      </w:tr>
      <w:tr w:rsidR="00D20123" w14:paraId="38CA2136" w14:textId="77777777" w:rsidTr="00630037">
        <w:tc>
          <w:tcPr>
            <w:tcW w:w="4324" w:type="dxa"/>
          </w:tcPr>
          <w:p w14:paraId="1AECA5E6" w14:textId="77777777" w:rsidR="00D20123" w:rsidRPr="008748FE" w:rsidRDefault="00D20123" w:rsidP="00BB08A3">
            <w:pPr>
              <w:pStyle w:val="ListParagraph"/>
              <w:spacing w:before="80" w:after="80"/>
              <w:ind w:left="0"/>
              <w:contextualSpacing w:val="0"/>
              <w:jc w:val="both"/>
              <w:rPr>
                <w:sz w:val="20"/>
                <w:szCs w:val="20"/>
              </w:rPr>
            </w:pPr>
            <w:r w:rsidRPr="008748FE">
              <w:rPr>
                <w:sz w:val="20"/>
                <w:szCs w:val="20"/>
              </w:rPr>
              <w:t>CONTACT DETAILS</w:t>
            </w:r>
          </w:p>
        </w:tc>
        <w:tc>
          <w:tcPr>
            <w:tcW w:w="4332" w:type="dxa"/>
          </w:tcPr>
          <w:p w14:paraId="03A52A45"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Address:</w:t>
            </w:r>
          </w:p>
          <w:p w14:paraId="72535801"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Telephone:</w:t>
            </w:r>
          </w:p>
          <w:p w14:paraId="02640E63" w14:textId="77777777" w:rsidR="00D20123" w:rsidRPr="008748FE" w:rsidRDefault="00D20123" w:rsidP="00BB08A3">
            <w:pPr>
              <w:pStyle w:val="ListParagraph"/>
              <w:spacing w:before="80" w:after="80"/>
              <w:ind w:left="0"/>
              <w:contextualSpacing w:val="0"/>
              <w:jc w:val="both"/>
              <w:rPr>
                <w:sz w:val="16"/>
                <w:szCs w:val="16"/>
              </w:rPr>
            </w:pPr>
            <w:r w:rsidRPr="008748FE">
              <w:rPr>
                <w:sz w:val="16"/>
                <w:szCs w:val="16"/>
              </w:rPr>
              <w:t>Fax:</w:t>
            </w:r>
          </w:p>
          <w:p w14:paraId="53888E5B" w14:textId="77777777" w:rsidR="00D20123" w:rsidRDefault="00D20123" w:rsidP="00BB08A3">
            <w:pPr>
              <w:pStyle w:val="ListParagraph"/>
              <w:spacing w:before="80" w:after="80"/>
              <w:ind w:left="0"/>
              <w:contextualSpacing w:val="0"/>
              <w:jc w:val="both"/>
            </w:pPr>
            <w:r w:rsidRPr="008748FE">
              <w:rPr>
                <w:sz w:val="16"/>
                <w:szCs w:val="16"/>
              </w:rPr>
              <w:t>Email:</w:t>
            </w:r>
          </w:p>
        </w:tc>
      </w:tr>
      <w:tr w:rsidR="00D20123" w14:paraId="60D61D41" w14:textId="77777777" w:rsidTr="00630037">
        <w:tc>
          <w:tcPr>
            <w:tcW w:w="4324" w:type="dxa"/>
          </w:tcPr>
          <w:p w14:paraId="3D68F187" w14:textId="77777777" w:rsidR="00D20123" w:rsidRPr="008748FE" w:rsidRDefault="00D20123" w:rsidP="00BB08A3">
            <w:pPr>
              <w:pStyle w:val="ListParagraph"/>
              <w:spacing w:before="80" w:after="80"/>
              <w:ind w:left="0"/>
              <w:contextualSpacing w:val="0"/>
              <w:jc w:val="both"/>
              <w:rPr>
                <w:sz w:val="20"/>
                <w:szCs w:val="20"/>
              </w:rPr>
            </w:pPr>
            <w:r>
              <w:rPr>
                <w:sz w:val="20"/>
                <w:szCs w:val="20"/>
              </w:rPr>
              <w:t>FUNCTION</w:t>
            </w:r>
          </w:p>
        </w:tc>
        <w:tc>
          <w:tcPr>
            <w:tcW w:w="4332" w:type="dxa"/>
          </w:tcPr>
          <w:p w14:paraId="7E06AADF" w14:textId="77777777" w:rsidR="00D20123" w:rsidRDefault="00D20123" w:rsidP="00BB08A3">
            <w:pPr>
              <w:pStyle w:val="ListParagraph"/>
              <w:spacing w:before="80" w:after="80"/>
              <w:ind w:left="0"/>
              <w:contextualSpacing w:val="0"/>
              <w:jc w:val="both"/>
            </w:pPr>
          </w:p>
        </w:tc>
      </w:tr>
    </w:tbl>
    <w:p w14:paraId="112D245A" w14:textId="77777777" w:rsidR="00D20123" w:rsidRDefault="00D20123" w:rsidP="00D20123">
      <w:pPr>
        <w:pStyle w:val="ListParagraph"/>
        <w:ind w:left="360"/>
        <w:jc w:val="both"/>
      </w:pPr>
    </w:p>
    <w:p w14:paraId="0BD84D17" w14:textId="5C8D2511" w:rsidR="00776065" w:rsidRDefault="00776065">
      <w:r>
        <w:br w:type="page"/>
      </w:r>
    </w:p>
    <w:p w14:paraId="2DD3F596" w14:textId="77777777" w:rsidR="00D20123" w:rsidRDefault="00D20123" w:rsidP="00D20123">
      <w:pPr>
        <w:jc w:val="both"/>
      </w:pPr>
    </w:p>
    <w:p w14:paraId="7C1161A9" w14:textId="74251E65" w:rsidR="00D20123" w:rsidRPr="00651982" w:rsidRDefault="00D20123" w:rsidP="00D20123">
      <w:pPr>
        <w:jc w:val="center"/>
        <w:rPr>
          <w:b/>
        </w:rPr>
      </w:pPr>
      <w:r w:rsidRPr="00651982">
        <w:rPr>
          <w:b/>
        </w:rPr>
        <w:t xml:space="preserve">APPENDIX </w:t>
      </w:r>
      <w:r w:rsidR="005537E8">
        <w:rPr>
          <w:b/>
        </w:rPr>
        <w:t xml:space="preserve">1B </w:t>
      </w:r>
      <w:r w:rsidRPr="00651982">
        <w:rPr>
          <w:b/>
        </w:rPr>
        <w:t xml:space="preserve">to Call for </w:t>
      </w:r>
      <w:r w:rsidR="00251560">
        <w:rPr>
          <w:b/>
        </w:rPr>
        <w:t>Service</w:t>
      </w:r>
      <w:r w:rsidRPr="00651982">
        <w:rPr>
          <w:b/>
        </w:rPr>
        <w:t xml:space="preserve"> No. </w:t>
      </w:r>
      <w:r w:rsidR="00C54932">
        <w:rPr>
          <w:b/>
        </w:rPr>
        <w:t>MDB/001/2019</w:t>
      </w:r>
    </w:p>
    <w:p w14:paraId="30823D67" w14:textId="77777777" w:rsidR="00D20123" w:rsidRPr="00651982" w:rsidRDefault="00D20123" w:rsidP="00D20123">
      <w:pPr>
        <w:jc w:val="center"/>
        <w:rPr>
          <w:b/>
        </w:rPr>
      </w:pPr>
    </w:p>
    <w:p w14:paraId="41DC9731" w14:textId="337BD409" w:rsidR="00D20123" w:rsidRPr="00651982" w:rsidRDefault="00D20123" w:rsidP="00D20123">
      <w:pPr>
        <w:jc w:val="center"/>
        <w:rPr>
          <w:b/>
        </w:rPr>
      </w:pPr>
      <w:r w:rsidRPr="00651982">
        <w:rPr>
          <w:b/>
        </w:rPr>
        <w:t>DECLARATION OF ABSENCE OF CONFLICT OF INTEREST</w:t>
      </w:r>
    </w:p>
    <w:p w14:paraId="46A103F3" w14:textId="77777777" w:rsidR="00D20123" w:rsidRPr="00651982" w:rsidRDefault="00D20123" w:rsidP="00D20123">
      <w:pPr>
        <w:jc w:val="center"/>
        <w:rPr>
          <w:b/>
        </w:rPr>
      </w:pPr>
    </w:p>
    <w:p w14:paraId="2A215041" w14:textId="407FC2E4" w:rsidR="00D20123" w:rsidRDefault="00D20123" w:rsidP="00D20123">
      <w:pPr>
        <w:jc w:val="both"/>
      </w:pPr>
      <w:r>
        <w:t xml:space="preserve">The Applicant and the undersigned in his/her/their capacity as duly authorised representative(s)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5B109252" w14:textId="77777777" w:rsidR="00D20123" w:rsidRDefault="00D20123" w:rsidP="00D20123">
      <w:pPr>
        <w:jc w:val="both"/>
      </w:pPr>
    </w:p>
    <w:p w14:paraId="25CA4349" w14:textId="7AACA1CF" w:rsidR="00D20123" w:rsidRDefault="00D20123" w:rsidP="00D20123">
      <w:pPr>
        <w:jc w:val="both"/>
      </w:pPr>
      <w:r>
        <w:t xml:space="preserve">Furthermore, the Applicant and the undersigned in his/her/their capacity duly authorised representative(s) of the Applicant confirm that they do not have a direct or indirect interest that may affect the performance of the task assigned to the Applicant under the Call for </w:t>
      </w:r>
      <w:r w:rsidR="006D541E">
        <w:t xml:space="preserve">Service </w:t>
      </w:r>
      <w:r>
        <w:t xml:space="preserve">no. </w:t>
      </w:r>
      <w:r w:rsidR="006D541E">
        <w:t xml:space="preserve"> MDB/001/2019</w:t>
      </w:r>
      <w:r w:rsidR="00A27002">
        <w:t>.</w:t>
      </w:r>
    </w:p>
    <w:p w14:paraId="5B8405C9" w14:textId="77777777" w:rsidR="00D20123" w:rsidRDefault="00D20123" w:rsidP="00D20123">
      <w:pPr>
        <w:jc w:val="both"/>
      </w:pPr>
    </w:p>
    <w:p w14:paraId="72DEC7AF" w14:textId="402C6B3F" w:rsidR="00D20123" w:rsidRDefault="00D20123" w:rsidP="00D20123">
      <w:pPr>
        <w:jc w:val="both"/>
      </w:pPr>
      <w:r>
        <w:t>Yours sincerely</w:t>
      </w:r>
    </w:p>
    <w:p w14:paraId="679F7258" w14:textId="77777777" w:rsidR="00D20123" w:rsidRDefault="00D20123" w:rsidP="00D20123">
      <w:pPr>
        <w:jc w:val="both"/>
      </w:pPr>
    </w:p>
    <w:p w14:paraId="2E8AE216" w14:textId="77777777" w:rsidR="00651982" w:rsidRDefault="00651982" w:rsidP="00D20123">
      <w:pPr>
        <w:jc w:val="both"/>
      </w:pPr>
    </w:p>
    <w:p w14:paraId="4E9B4741" w14:textId="77777777" w:rsidR="008B2C8A" w:rsidRDefault="008B2C8A" w:rsidP="00D20123">
      <w:pPr>
        <w:jc w:val="both"/>
      </w:pPr>
    </w:p>
    <w:p w14:paraId="6AF277DA" w14:textId="5D98EBCF" w:rsidR="00D20123" w:rsidRDefault="00D20123" w:rsidP="00D20123">
      <w:pPr>
        <w:jc w:val="both"/>
      </w:pPr>
      <w:r>
        <w:t>Signature</w:t>
      </w:r>
    </w:p>
    <w:p w14:paraId="5FB83653" w14:textId="77777777" w:rsidR="00651982" w:rsidRDefault="00651982" w:rsidP="00D20123">
      <w:pPr>
        <w:jc w:val="both"/>
      </w:pPr>
    </w:p>
    <w:p w14:paraId="72ECD6E2" w14:textId="71860B4B" w:rsidR="00D20123" w:rsidRDefault="00D20123" w:rsidP="00D20123">
      <w:pPr>
        <w:jc w:val="both"/>
      </w:pPr>
      <w:r>
        <w:t xml:space="preserve">Name and position in </w:t>
      </w:r>
      <w:r w:rsidR="00651982">
        <w:t>c</w:t>
      </w:r>
      <w:r>
        <w:t>apitals:</w:t>
      </w:r>
      <w:r>
        <w:tab/>
      </w:r>
      <w:r>
        <w:tab/>
      </w:r>
      <w:r>
        <w:tab/>
      </w:r>
      <w:r>
        <w:tab/>
      </w:r>
      <w:r>
        <w:tab/>
      </w:r>
      <w:r w:rsidR="00651982">
        <w:t xml:space="preserve">              </w:t>
      </w:r>
      <w:r w:rsidRPr="00D53DAE">
        <w:t xml:space="preserve">Stamp of </w:t>
      </w:r>
      <w:r w:rsidR="00D53DAE" w:rsidRPr="00D53DAE">
        <w:t xml:space="preserve">the </w:t>
      </w:r>
      <w:r w:rsidRPr="00D53DAE">
        <w:t>Applicant</w:t>
      </w:r>
    </w:p>
    <w:p w14:paraId="5D879904" w14:textId="77777777" w:rsidR="00651982" w:rsidRDefault="00651982" w:rsidP="00D20123">
      <w:pPr>
        <w:jc w:val="both"/>
      </w:pPr>
    </w:p>
    <w:p w14:paraId="02FCA380" w14:textId="36096766" w:rsidR="00D20123" w:rsidRDefault="00D20123" w:rsidP="00D20123">
      <w:pPr>
        <w:jc w:val="both"/>
      </w:pPr>
      <w:r>
        <w:t xml:space="preserve">Applicant’s </w:t>
      </w:r>
      <w:r w:rsidR="00651982">
        <w:t>n</w:t>
      </w:r>
      <w:r>
        <w:t>ame</w:t>
      </w:r>
      <w:r w:rsidR="008B2C8A">
        <w:t>:</w:t>
      </w:r>
    </w:p>
    <w:p w14:paraId="42B4CAEC" w14:textId="77777777" w:rsidR="00651982" w:rsidRDefault="00651982" w:rsidP="00D20123">
      <w:pPr>
        <w:jc w:val="both"/>
      </w:pPr>
    </w:p>
    <w:p w14:paraId="311921AB" w14:textId="0A596FFD" w:rsidR="00D20123" w:rsidRDefault="00651982" w:rsidP="00D20123">
      <w:pPr>
        <w:jc w:val="both"/>
        <w:rPr>
          <w:i/>
        </w:rPr>
      </w:pPr>
      <w:r>
        <w:t>Address</w:t>
      </w:r>
      <w:r w:rsidR="00D20123">
        <w:t>:</w:t>
      </w:r>
      <w:r w:rsidR="00D20123">
        <w:tab/>
      </w:r>
      <w:r w:rsidR="00D20123">
        <w:tab/>
      </w:r>
      <w:r w:rsidR="00D20123">
        <w:tab/>
      </w:r>
      <w:r w:rsidR="00D20123">
        <w:tab/>
      </w:r>
      <w:r w:rsidR="00D20123">
        <w:tab/>
      </w:r>
      <w:r w:rsidR="00D20123">
        <w:tab/>
      </w:r>
      <w:r w:rsidR="00D20123">
        <w:tab/>
      </w:r>
      <w:r w:rsidR="00D20123">
        <w:tab/>
        <w:t>Date (</w:t>
      </w:r>
      <w:r w:rsidR="00D20123">
        <w:rPr>
          <w:i/>
        </w:rPr>
        <w:t>day/month</w:t>
      </w:r>
      <w:r w:rsidR="00CC5574">
        <w:rPr>
          <w:i/>
        </w:rPr>
        <w:t>/</w:t>
      </w:r>
      <w:r w:rsidR="00D20123">
        <w:rPr>
          <w:i/>
        </w:rPr>
        <w:t>year):</w:t>
      </w:r>
    </w:p>
    <w:p w14:paraId="2C2D717F" w14:textId="77777777" w:rsidR="00D20123" w:rsidRDefault="00D20123" w:rsidP="00D20123">
      <w:pPr>
        <w:jc w:val="both"/>
        <w:rPr>
          <w:i/>
        </w:rPr>
      </w:pPr>
    </w:p>
    <w:p w14:paraId="6667CD7B" w14:textId="77777777" w:rsidR="00D20123" w:rsidRDefault="00D20123" w:rsidP="00D20123">
      <w:pPr>
        <w:jc w:val="both"/>
        <w:rPr>
          <w:i/>
        </w:rPr>
      </w:pPr>
    </w:p>
    <w:p w14:paraId="78269AE6" w14:textId="5995978E" w:rsidR="00574E6D" w:rsidRDefault="00574E6D" w:rsidP="00100511">
      <w:pPr>
        <w:jc w:val="both"/>
        <w:rPr>
          <w:color w:val="FF0000"/>
        </w:rPr>
      </w:pPr>
    </w:p>
    <w:p w14:paraId="100C95B2" w14:textId="77777777" w:rsidR="00574E6D" w:rsidRPr="00691682" w:rsidRDefault="00574E6D" w:rsidP="00691682"/>
    <w:p w14:paraId="61C0F9E2" w14:textId="77777777" w:rsidR="00574E6D" w:rsidRPr="00691682" w:rsidRDefault="00574E6D" w:rsidP="00691682"/>
    <w:p w14:paraId="6C9189DB" w14:textId="77777777" w:rsidR="00574E6D" w:rsidRPr="00691682" w:rsidRDefault="00574E6D" w:rsidP="00691682"/>
    <w:p w14:paraId="2B1138B3" w14:textId="77777777" w:rsidR="00574E6D" w:rsidRPr="00691682" w:rsidRDefault="00574E6D" w:rsidP="00691682"/>
    <w:p w14:paraId="25FD63DF" w14:textId="77777777" w:rsidR="00574E6D" w:rsidRPr="00691682" w:rsidRDefault="00574E6D" w:rsidP="00691682"/>
    <w:p w14:paraId="1AEA59B5" w14:textId="77777777" w:rsidR="00574E6D" w:rsidRPr="00691682" w:rsidRDefault="00574E6D" w:rsidP="00691682"/>
    <w:p w14:paraId="715A3129" w14:textId="77777777" w:rsidR="00574E6D" w:rsidRPr="00691682" w:rsidRDefault="00574E6D" w:rsidP="00691682"/>
    <w:p w14:paraId="6A5E7ED5" w14:textId="77777777" w:rsidR="00574E6D" w:rsidRPr="00691682" w:rsidRDefault="00574E6D" w:rsidP="00691682"/>
    <w:p w14:paraId="6E511584" w14:textId="77777777" w:rsidR="00574E6D" w:rsidRPr="00691682" w:rsidRDefault="00574E6D" w:rsidP="00691682"/>
    <w:p w14:paraId="747D8740" w14:textId="77777777" w:rsidR="00574E6D" w:rsidRPr="00691682" w:rsidRDefault="00574E6D" w:rsidP="00691682"/>
    <w:p w14:paraId="26704B10" w14:textId="77777777" w:rsidR="00574E6D" w:rsidRPr="00691682" w:rsidRDefault="00574E6D" w:rsidP="00691682"/>
    <w:p w14:paraId="3AD35E06" w14:textId="77777777" w:rsidR="00574E6D" w:rsidRPr="00691682" w:rsidRDefault="00574E6D" w:rsidP="00691682"/>
    <w:p w14:paraId="59AA6B2F" w14:textId="77777777" w:rsidR="00574E6D" w:rsidRPr="00691682" w:rsidRDefault="00574E6D" w:rsidP="00691682"/>
    <w:p w14:paraId="72C3D188" w14:textId="77777777" w:rsidR="00574E6D" w:rsidRPr="00691682" w:rsidRDefault="00574E6D" w:rsidP="00691682"/>
    <w:p w14:paraId="023E7BE5" w14:textId="77777777" w:rsidR="00574E6D" w:rsidRPr="00691682" w:rsidRDefault="00574E6D" w:rsidP="00691682"/>
    <w:p w14:paraId="1E405DD7" w14:textId="77777777" w:rsidR="00574E6D" w:rsidRPr="00691682" w:rsidRDefault="00574E6D" w:rsidP="00691682"/>
    <w:p w14:paraId="52009654" w14:textId="77777777" w:rsidR="00574E6D" w:rsidRPr="00691682" w:rsidRDefault="00574E6D" w:rsidP="00691682"/>
    <w:p w14:paraId="7684DB35" w14:textId="77777777" w:rsidR="00574E6D" w:rsidRPr="00691682" w:rsidRDefault="00574E6D" w:rsidP="00691682"/>
    <w:p w14:paraId="771B1667" w14:textId="77777777" w:rsidR="00776065" w:rsidRDefault="00776065">
      <w:pPr>
        <w:rPr>
          <w:b/>
        </w:rPr>
      </w:pPr>
      <w:r>
        <w:rPr>
          <w:b/>
        </w:rPr>
        <w:br w:type="page"/>
      </w:r>
    </w:p>
    <w:p w14:paraId="41021042" w14:textId="3781515C" w:rsidR="00574E6D" w:rsidRDefault="00574E6D" w:rsidP="00912D5A">
      <w:pPr>
        <w:jc w:val="center"/>
        <w:rPr>
          <w:b/>
        </w:rPr>
      </w:pPr>
      <w:r w:rsidRPr="00651982">
        <w:rPr>
          <w:b/>
        </w:rPr>
        <w:t xml:space="preserve">APPENDIX </w:t>
      </w:r>
      <w:r w:rsidR="005537E8">
        <w:rPr>
          <w:b/>
        </w:rPr>
        <w:t>1C</w:t>
      </w:r>
      <w:r w:rsidRPr="00651982">
        <w:rPr>
          <w:b/>
        </w:rPr>
        <w:t xml:space="preserve"> to Call </w:t>
      </w:r>
      <w:r w:rsidR="006D541E">
        <w:rPr>
          <w:b/>
        </w:rPr>
        <w:t>for Service</w:t>
      </w:r>
      <w:r w:rsidRPr="00651982">
        <w:rPr>
          <w:b/>
        </w:rPr>
        <w:t xml:space="preserve"> No. </w:t>
      </w:r>
      <w:r w:rsidR="006D541E">
        <w:rPr>
          <w:b/>
        </w:rPr>
        <w:t>MDB/001/2019</w:t>
      </w:r>
    </w:p>
    <w:p w14:paraId="0A2A5C7B" w14:textId="77777777" w:rsidR="005537E8" w:rsidRPr="00651982" w:rsidRDefault="005537E8" w:rsidP="00574E6D">
      <w:pPr>
        <w:jc w:val="center"/>
        <w:rPr>
          <w:b/>
        </w:rPr>
      </w:pPr>
    </w:p>
    <w:p w14:paraId="0736917E" w14:textId="77777777" w:rsidR="00574E6D" w:rsidRPr="00651982" w:rsidRDefault="00574E6D" w:rsidP="00574E6D">
      <w:pPr>
        <w:jc w:val="center"/>
        <w:rPr>
          <w:b/>
        </w:rPr>
      </w:pPr>
      <w:r w:rsidRPr="00651982">
        <w:rPr>
          <w:b/>
        </w:rPr>
        <w:t>STATEMENT REGARDING SITUATIONS OF EXCLUSION - 1</w:t>
      </w:r>
    </w:p>
    <w:p w14:paraId="53783643" w14:textId="77777777" w:rsidR="00574E6D" w:rsidRDefault="00574E6D" w:rsidP="00574E6D">
      <w:pPr>
        <w:jc w:val="center"/>
      </w:pPr>
    </w:p>
    <w:p w14:paraId="45C6779D" w14:textId="72F61D5B" w:rsidR="00574E6D" w:rsidRDefault="00574E6D" w:rsidP="00574E6D">
      <w:pPr>
        <w:jc w:val="both"/>
      </w:pPr>
      <w:r>
        <w:t xml:space="preserve">The undersigned certifies/certify that the (Applicant) is not in any of the situations which would exclude it from taking part in this </w:t>
      </w:r>
      <w:r w:rsidR="006D541E">
        <w:t>C</w:t>
      </w:r>
      <w:r>
        <w:t xml:space="preserve">all for </w:t>
      </w:r>
      <w:r w:rsidR="006D541E">
        <w:t>Service</w:t>
      </w:r>
      <w:r>
        <w:t xml:space="preserve"> and accordingly declared(s) that the (</w:t>
      </w:r>
      <w:r w:rsidRPr="00CF72F9">
        <w:rPr>
          <w:i/>
        </w:rPr>
        <w:t>Applicant</w:t>
      </w:r>
      <w:r>
        <w:t>):</w:t>
      </w:r>
    </w:p>
    <w:p w14:paraId="69E7A29E" w14:textId="77777777" w:rsidR="00574E6D" w:rsidRDefault="00574E6D" w:rsidP="00574E6D">
      <w:pPr>
        <w:jc w:val="both"/>
      </w:pPr>
    </w:p>
    <w:p w14:paraId="76566668" w14:textId="77777777" w:rsidR="00574E6D" w:rsidRDefault="00574E6D" w:rsidP="00D90932">
      <w:pPr>
        <w:pStyle w:val="ListParagraph"/>
        <w:numPr>
          <w:ilvl w:val="0"/>
          <w:numId w:val="28"/>
        </w:numPr>
        <w:spacing w:after="160" w:line="259" w:lineRule="auto"/>
        <w:jc w:val="both"/>
      </w:pPr>
      <w:r>
        <w:t>Has never been the subject of a conviction by final judgment for one or more reasons listed below:</w:t>
      </w:r>
    </w:p>
    <w:p w14:paraId="6BA389E8" w14:textId="77777777" w:rsidR="00574E6D" w:rsidRDefault="00574E6D" w:rsidP="00D90932">
      <w:pPr>
        <w:pStyle w:val="ListParagraph"/>
        <w:numPr>
          <w:ilvl w:val="0"/>
          <w:numId w:val="29"/>
        </w:numPr>
        <w:spacing w:after="160" w:line="259" w:lineRule="auto"/>
        <w:jc w:val="both"/>
      </w:pPr>
      <w:r>
        <w:t>Participation in a criminal organisation, as defined in Article 2 (1) of the Council Joint Action 98/733/JHA</w:t>
      </w:r>
      <w:r>
        <w:rPr>
          <w:rStyle w:val="FootnoteReference"/>
        </w:rPr>
        <w:footnoteReference w:id="3"/>
      </w:r>
      <w:r>
        <w:t>;</w:t>
      </w:r>
    </w:p>
    <w:p w14:paraId="7BEE794C" w14:textId="77777777" w:rsidR="00574E6D" w:rsidRDefault="00574E6D" w:rsidP="00D90932">
      <w:pPr>
        <w:pStyle w:val="ListParagraph"/>
        <w:numPr>
          <w:ilvl w:val="0"/>
          <w:numId w:val="29"/>
        </w:numPr>
        <w:spacing w:after="160" w:line="259" w:lineRule="auto"/>
        <w:jc w:val="both"/>
      </w:pPr>
      <w:r>
        <w:t>Corruption, as defined in the Council Act of 26 May 1997 and Article 3 (1) of the Council Join Action 98/733/JHA;</w:t>
      </w:r>
    </w:p>
    <w:p w14:paraId="06B047BB" w14:textId="77777777" w:rsidR="00574E6D" w:rsidRDefault="00574E6D" w:rsidP="00D90932">
      <w:pPr>
        <w:pStyle w:val="ListParagraph"/>
        <w:numPr>
          <w:ilvl w:val="0"/>
          <w:numId w:val="29"/>
        </w:numPr>
        <w:spacing w:after="160" w:line="259" w:lineRule="auto"/>
        <w:jc w:val="both"/>
      </w:pPr>
      <w:r>
        <w:t xml:space="preserve">Fraud within the meaning of Article 1 of the Convention drawn up </w:t>
      </w:r>
      <w:proofErr w:type="gramStart"/>
      <w:r>
        <w:t>on the basis of</w:t>
      </w:r>
      <w:proofErr w:type="gramEnd"/>
      <w:r>
        <w:t xml:space="preserve"> Article K.3 of the Treaty on European Union, on the protection of the European communities’ financial interest</w:t>
      </w:r>
      <w:r>
        <w:rPr>
          <w:rStyle w:val="FootnoteReference"/>
        </w:rPr>
        <w:footnoteReference w:id="4"/>
      </w:r>
      <w:r>
        <w:t>;</w:t>
      </w:r>
    </w:p>
    <w:p w14:paraId="33BC92CC" w14:textId="77777777" w:rsidR="00574E6D" w:rsidRDefault="00574E6D" w:rsidP="00D90932">
      <w:pPr>
        <w:pStyle w:val="ListParagraph"/>
        <w:numPr>
          <w:ilvl w:val="0"/>
          <w:numId w:val="29"/>
        </w:numPr>
        <w:spacing w:after="160" w:line="259" w:lineRule="auto"/>
        <w:jc w:val="both"/>
      </w:pPr>
      <w:r>
        <w:t>Money laundering as defined in the Directives 2005/60/EC</w:t>
      </w:r>
      <w:r>
        <w:rPr>
          <w:rStyle w:val="FootnoteReference"/>
        </w:rPr>
        <w:footnoteReference w:id="5"/>
      </w:r>
      <w:r>
        <w:t xml:space="preserve"> of 26 October 2005 and 2006/70/EC</w:t>
      </w:r>
      <w:r>
        <w:rPr>
          <w:rStyle w:val="FootnoteReference"/>
        </w:rPr>
        <w:footnoteReference w:id="6"/>
      </w:r>
      <w:r>
        <w:t xml:space="preserve"> of 1 August 2006, and Directive 2001/97/EC of 4 December 2001</w:t>
      </w:r>
      <w:r>
        <w:rPr>
          <w:rStyle w:val="FootnoteReference"/>
        </w:rPr>
        <w:footnoteReference w:id="7"/>
      </w:r>
      <w:r>
        <w:t>;</w:t>
      </w:r>
    </w:p>
    <w:p w14:paraId="645868FC" w14:textId="77777777" w:rsidR="00574E6D" w:rsidRDefault="00574E6D" w:rsidP="00D90932">
      <w:pPr>
        <w:pStyle w:val="ListParagraph"/>
        <w:numPr>
          <w:ilvl w:val="0"/>
          <w:numId w:val="28"/>
        </w:numPr>
        <w:spacing w:after="160" w:line="259" w:lineRule="auto"/>
        <w:jc w:val="both"/>
      </w:pPr>
      <w:r>
        <w:t>Has not performed any act which may be qualified as illegal activity in the meaning of the term of the European Commission Anti-Fraud Policy;</w:t>
      </w:r>
    </w:p>
    <w:p w14:paraId="2EC07353" w14:textId="77777777" w:rsidR="00574E6D" w:rsidRDefault="00574E6D" w:rsidP="00D90932">
      <w:pPr>
        <w:pStyle w:val="ListParagraph"/>
        <w:numPr>
          <w:ilvl w:val="0"/>
          <w:numId w:val="28"/>
        </w:numPr>
        <w:spacing w:after="160" w:line="259" w:lineRule="auto"/>
        <w:jc w:val="both"/>
      </w:pPr>
      <w:r>
        <w:t>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regulations;</w:t>
      </w:r>
    </w:p>
    <w:p w14:paraId="28150095" w14:textId="77777777" w:rsidR="00574E6D" w:rsidRDefault="00574E6D" w:rsidP="00D90932">
      <w:pPr>
        <w:pStyle w:val="ListParagraph"/>
        <w:numPr>
          <w:ilvl w:val="0"/>
          <w:numId w:val="28"/>
        </w:numPr>
        <w:spacing w:after="160" w:line="259" w:lineRule="auto"/>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8C42E44" w14:textId="2C2AC5FB" w:rsidR="00574E6D" w:rsidRDefault="00574E6D" w:rsidP="00D90932">
      <w:pPr>
        <w:pStyle w:val="ListParagraph"/>
        <w:numPr>
          <w:ilvl w:val="0"/>
          <w:numId w:val="28"/>
        </w:numPr>
        <w:spacing w:after="160" w:line="259" w:lineRule="auto"/>
        <w:jc w:val="both"/>
      </w:pPr>
      <w:r>
        <w:t>Is not ‘a firm in difficulty’ within the meaning of Article 2.1 of the Community guidelines on State aid for rescuing and restricting firms in difficulty</w:t>
      </w:r>
      <w:r>
        <w:rPr>
          <w:rStyle w:val="FootnoteReference"/>
        </w:rPr>
        <w:footnoteReference w:id="8"/>
      </w:r>
      <w:r>
        <w:t>;</w:t>
      </w:r>
    </w:p>
    <w:p w14:paraId="292FD440" w14:textId="61A904D2" w:rsidR="00574E6D" w:rsidRDefault="00574E6D" w:rsidP="00D90932">
      <w:pPr>
        <w:pStyle w:val="ListParagraph"/>
        <w:numPr>
          <w:ilvl w:val="0"/>
          <w:numId w:val="28"/>
        </w:numPr>
        <w:spacing w:after="160" w:line="259" w:lineRule="auto"/>
        <w:jc w:val="both"/>
      </w:pPr>
      <w:r>
        <w:t xml:space="preserve">No member of its senior management has been convicted as a consequent of a judgment which has the force of </w:t>
      </w:r>
      <w:r>
        <w:rPr>
          <w:i/>
        </w:rPr>
        <w:t xml:space="preserve">res </w:t>
      </w:r>
      <w:proofErr w:type="spellStart"/>
      <w:r>
        <w:rPr>
          <w:i/>
        </w:rPr>
        <w:t>iudicata</w:t>
      </w:r>
      <w:proofErr w:type="spellEnd"/>
      <w:r>
        <w:rPr>
          <w:i/>
        </w:rPr>
        <w:t>,</w:t>
      </w:r>
      <w:r>
        <w:t xml:space="preserve"> in accordance with the legal provisions of the country of any offence concerning its professional conduct;</w:t>
      </w:r>
    </w:p>
    <w:p w14:paraId="2AEE6428" w14:textId="3C470AB2" w:rsidR="00574E6D" w:rsidRDefault="00574E6D" w:rsidP="00D90932">
      <w:pPr>
        <w:pStyle w:val="ListParagraph"/>
        <w:numPr>
          <w:ilvl w:val="0"/>
          <w:numId w:val="28"/>
        </w:numPr>
        <w:spacing w:after="160" w:line="259" w:lineRule="auto"/>
        <w:jc w:val="both"/>
      </w:pPr>
      <w:r>
        <w:t>No member of its senior management has been guilty of grave professional misconduct;</w:t>
      </w:r>
    </w:p>
    <w:p w14:paraId="0C721ACB" w14:textId="77777777" w:rsidR="00487E92" w:rsidRDefault="00487E92" w:rsidP="00691682">
      <w:pPr>
        <w:pStyle w:val="ListParagraph"/>
        <w:spacing w:after="160" w:line="259" w:lineRule="auto"/>
        <w:ind w:left="1080"/>
        <w:jc w:val="both"/>
      </w:pPr>
    </w:p>
    <w:p w14:paraId="16852242" w14:textId="77777777" w:rsidR="00574E6D" w:rsidRDefault="00574E6D" w:rsidP="00D90932">
      <w:pPr>
        <w:pStyle w:val="ListParagraph"/>
        <w:numPr>
          <w:ilvl w:val="0"/>
          <w:numId w:val="28"/>
        </w:numPr>
        <w:spacing w:after="160" w:line="259" w:lineRule="auto"/>
        <w:jc w:val="both"/>
      </w:pPr>
      <w:r>
        <w:t>Has fulfilled obligations relating to the payment of social security contributions in accordance with the legal provisions of the county in which it is established;</w:t>
      </w:r>
    </w:p>
    <w:p w14:paraId="0C7FFBA5" w14:textId="5613550C" w:rsidR="00574E6D" w:rsidRDefault="00574E6D" w:rsidP="00D90932">
      <w:pPr>
        <w:pStyle w:val="ListParagraph"/>
        <w:numPr>
          <w:ilvl w:val="0"/>
          <w:numId w:val="28"/>
        </w:numPr>
        <w:spacing w:after="160" w:line="259" w:lineRule="auto"/>
        <w:jc w:val="both"/>
      </w:pPr>
      <w:r>
        <w:t xml:space="preserve">Has fulfilled obligations relating to the payment of taxes in accordance with the legal provisions of the country in which it is established </w:t>
      </w:r>
      <w:proofErr w:type="gramStart"/>
      <w:r>
        <w:t>and in the countries</w:t>
      </w:r>
      <w:proofErr w:type="gramEnd"/>
      <w:r>
        <w:t xml:space="preserve"> where it operates, as applicable;</w:t>
      </w:r>
    </w:p>
    <w:p w14:paraId="24E5AF3A" w14:textId="66D12AAF" w:rsidR="00574E6D" w:rsidRDefault="00574E6D" w:rsidP="00D90932">
      <w:pPr>
        <w:pStyle w:val="ListParagraph"/>
        <w:numPr>
          <w:ilvl w:val="0"/>
          <w:numId w:val="28"/>
        </w:numPr>
        <w:spacing w:after="160" w:line="259" w:lineRule="auto"/>
        <w:jc w:val="both"/>
      </w:pPr>
      <w:r>
        <w:t xml:space="preserve">Is not found to have provided serious misrepresentation in supplying the information required in accordance with the Call for </w:t>
      </w:r>
      <w:r w:rsidR="006D541E">
        <w:t>Service</w:t>
      </w:r>
      <w:r>
        <w:t xml:space="preserve"> or has supplied such information.</w:t>
      </w:r>
    </w:p>
    <w:p w14:paraId="1A800616" w14:textId="1CB22084" w:rsidR="00574E6D" w:rsidRDefault="00574E6D" w:rsidP="00574E6D">
      <w:pPr>
        <w:ind w:left="360"/>
        <w:jc w:val="both"/>
      </w:pPr>
      <w:r>
        <w:t xml:space="preserve">The Applicant and the undersigned in his/her/their capacity as duly authorised representative of the Applicant commit to provide all evidence to the above, upon request by </w:t>
      </w:r>
      <w:r w:rsidR="00912D5A">
        <w:t>the MDB</w:t>
      </w:r>
      <w:r>
        <w:t>.</w:t>
      </w:r>
    </w:p>
    <w:p w14:paraId="7AD01EBA" w14:textId="77777777" w:rsidR="005537E8" w:rsidRDefault="005537E8" w:rsidP="00574E6D">
      <w:pPr>
        <w:jc w:val="both"/>
      </w:pPr>
    </w:p>
    <w:p w14:paraId="3C762E71" w14:textId="162A962E" w:rsidR="00574E6D" w:rsidRDefault="00574E6D" w:rsidP="00574E6D">
      <w:pPr>
        <w:jc w:val="both"/>
      </w:pPr>
      <w:r>
        <w:t>Yours sincerely</w:t>
      </w:r>
    </w:p>
    <w:p w14:paraId="1CE08496" w14:textId="77777777" w:rsidR="00574E6D" w:rsidRDefault="00574E6D" w:rsidP="00574E6D">
      <w:pPr>
        <w:jc w:val="both"/>
      </w:pPr>
    </w:p>
    <w:p w14:paraId="6C4B38AB" w14:textId="77777777" w:rsidR="00574E6D" w:rsidRDefault="00574E6D" w:rsidP="00574E6D">
      <w:pPr>
        <w:jc w:val="both"/>
      </w:pPr>
      <w:r>
        <w:t>Signature</w:t>
      </w:r>
    </w:p>
    <w:p w14:paraId="40E1D179" w14:textId="1D37B25E" w:rsidR="00651982" w:rsidRDefault="00651982" w:rsidP="00574E6D">
      <w:pPr>
        <w:jc w:val="both"/>
      </w:pPr>
      <w:r>
        <w:t xml:space="preserve">  </w:t>
      </w:r>
    </w:p>
    <w:p w14:paraId="7CC29018" w14:textId="77777777" w:rsidR="005537E8" w:rsidRDefault="005537E8" w:rsidP="00574E6D">
      <w:pPr>
        <w:jc w:val="both"/>
      </w:pPr>
    </w:p>
    <w:p w14:paraId="1CC9F195" w14:textId="050979DA" w:rsidR="00574E6D" w:rsidRDefault="00574E6D" w:rsidP="00574E6D">
      <w:pPr>
        <w:jc w:val="both"/>
      </w:pPr>
      <w:r>
        <w:t xml:space="preserve">Name and position in </w:t>
      </w:r>
      <w:r w:rsidR="00651982">
        <w:t>c</w:t>
      </w:r>
      <w:r>
        <w:t>apitals:</w:t>
      </w:r>
      <w:r>
        <w:tab/>
      </w:r>
      <w:r>
        <w:tab/>
      </w:r>
      <w:r>
        <w:tab/>
      </w:r>
      <w:r>
        <w:tab/>
      </w:r>
      <w:r>
        <w:tab/>
      </w:r>
      <w:r w:rsidR="00651982">
        <w:t xml:space="preserve">              </w:t>
      </w:r>
      <w:r>
        <w:t>Stamp of Applicant’s</w:t>
      </w:r>
    </w:p>
    <w:p w14:paraId="11BF5F5E" w14:textId="4F1EE1A7" w:rsidR="00651982" w:rsidRDefault="00651982" w:rsidP="00574E6D">
      <w:pPr>
        <w:jc w:val="both"/>
      </w:pPr>
    </w:p>
    <w:p w14:paraId="6EC3A419" w14:textId="77777777" w:rsidR="005537E8" w:rsidRDefault="005537E8" w:rsidP="00574E6D">
      <w:pPr>
        <w:jc w:val="both"/>
      </w:pPr>
    </w:p>
    <w:p w14:paraId="0A45A58B" w14:textId="28B0D935" w:rsidR="00574E6D" w:rsidRDefault="00574E6D" w:rsidP="00574E6D">
      <w:pPr>
        <w:jc w:val="both"/>
      </w:pPr>
      <w:r>
        <w:t xml:space="preserve">Applicant’s </w:t>
      </w:r>
      <w:r w:rsidR="00651982">
        <w:t>n</w:t>
      </w:r>
      <w:r>
        <w:t>ame</w:t>
      </w:r>
    </w:p>
    <w:p w14:paraId="6CCCAC94" w14:textId="627B4A84" w:rsidR="00651982" w:rsidRDefault="00651982" w:rsidP="00574E6D">
      <w:pPr>
        <w:jc w:val="both"/>
      </w:pPr>
    </w:p>
    <w:p w14:paraId="2EE69879" w14:textId="77777777" w:rsidR="005537E8" w:rsidRDefault="005537E8" w:rsidP="00574E6D">
      <w:pPr>
        <w:jc w:val="both"/>
      </w:pPr>
    </w:p>
    <w:p w14:paraId="2CEC72C1" w14:textId="1557D9BD" w:rsidR="00574E6D" w:rsidRPr="000E3B87" w:rsidRDefault="00651982" w:rsidP="00574E6D">
      <w:pPr>
        <w:jc w:val="both"/>
        <w:rPr>
          <w:i/>
        </w:rPr>
      </w:pPr>
      <w:r>
        <w:t>Address</w:t>
      </w:r>
      <w:r w:rsidR="00574E6D">
        <w:t>:</w:t>
      </w:r>
      <w:r w:rsidR="00574E6D">
        <w:tab/>
      </w:r>
      <w:r w:rsidR="00574E6D">
        <w:tab/>
      </w:r>
      <w:r w:rsidR="00574E6D">
        <w:tab/>
      </w:r>
      <w:r w:rsidR="00574E6D">
        <w:tab/>
      </w:r>
      <w:r w:rsidR="00574E6D">
        <w:tab/>
      </w:r>
      <w:r w:rsidR="00574E6D">
        <w:tab/>
      </w:r>
      <w:r w:rsidR="00574E6D">
        <w:tab/>
      </w:r>
      <w:r w:rsidR="00574E6D">
        <w:tab/>
        <w:t>Date (</w:t>
      </w:r>
      <w:r w:rsidR="00574E6D">
        <w:rPr>
          <w:i/>
        </w:rPr>
        <w:t>day/month year):</w:t>
      </w:r>
    </w:p>
    <w:p w14:paraId="3C9526E6" w14:textId="5ECFE494" w:rsidR="00574E6D" w:rsidRDefault="00574E6D" w:rsidP="00574E6D">
      <w:pPr>
        <w:tabs>
          <w:tab w:val="left" w:pos="1065"/>
        </w:tabs>
      </w:pPr>
    </w:p>
    <w:p w14:paraId="6880F9F3" w14:textId="3701C69B" w:rsidR="00487E92" w:rsidRDefault="00487E92" w:rsidP="00574E6D">
      <w:pPr>
        <w:tabs>
          <w:tab w:val="left" w:pos="1065"/>
        </w:tabs>
      </w:pPr>
    </w:p>
    <w:p w14:paraId="5A2CEE4A" w14:textId="08BE7FC0" w:rsidR="00487E92" w:rsidRDefault="00487E92" w:rsidP="00574E6D">
      <w:pPr>
        <w:tabs>
          <w:tab w:val="left" w:pos="1065"/>
        </w:tabs>
      </w:pPr>
    </w:p>
    <w:p w14:paraId="0F37ADB0" w14:textId="660EF09B" w:rsidR="00487E92" w:rsidRDefault="00487E92" w:rsidP="00574E6D">
      <w:pPr>
        <w:tabs>
          <w:tab w:val="left" w:pos="1065"/>
        </w:tabs>
      </w:pPr>
    </w:p>
    <w:p w14:paraId="663168EF" w14:textId="109397FB" w:rsidR="00487E92" w:rsidRDefault="00487E92" w:rsidP="00574E6D">
      <w:pPr>
        <w:tabs>
          <w:tab w:val="left" w:pos="1065"/>
        </w:tabs>
      </w:pPr>
    </w:p>
    <w:p w14:paraId="093A3507" w14:textId="191113E7" w:rsidR="00487E92" w:rsidRDefault="00487E92" w:rsidP="00574E6D">
      <w:pPr>
        <w:tabs>
          <w:tab w:val="left" w:pos="1065"/>
        </w:tabs>
      </w:pPr>
    </w:p>
    <w:p w14:paraId="3F354DE6" w14:textId="7AFA473E" w:rsidR="00487E92" w:rsidRDefault="00487E92" w:rsidP="00574E6D">
      <w:pPr>
        <w:tabs>
          <w:tab w:val="left" w:pos="1065"/>
        </w:tabs>
      </w:pPr>
    </w:p>
    <w:p w14:paraId="6E8C1BCB" w14:textId="101327C5" w:rsidR="00487E92" w:rsidRDefault="00487E92" w:rsidP="00574E6D">
      <w:pPr>
        <w:tabs>
          <w:tab w:val="left" w:pos="1065"/>
        </w:tabs>
      </w:pPr>
    </w:p>
    <w:p w14:paraId="49E96F22" w14:textId="1B593888" w:rsidR="00487E92" w:rsidRDefault="00487E92" w:rsidP="00574E6D">
      <w:pPr>
        <w:tabs>
          <w:tab w:val="left" w:pos="1065"/>
        </w:tabs>
      </w:pPr>
    </w:p>
    <w:p w14:paraId="48DA7054" w14:textId="7F1425D2" w:rsidR="00487E92" w:rsidRDefault="00487E92" w:rsidP="00574E6D">
      <w:pPr>
        <w:tabs>
          <w:tab w:val="left" w:pos="1065"/>
        </w:tabs>
      </w:pPr>
    </w:p>
    <w:p w14:paraId="42FBEB4A" w14:textId="557E556A" w:rsidR="00487E92" w:rsidRDefault="00487E92" w:rsidP="00574E6D">
      <w:pPr>
        <w:tabs>
          <w:tab w:val="left" w:pos="1065"/>
        </w:tabs>
      </w:pPr>
    </w:p>
    <w:p w14:paraId="6A9FB40C" w14:textId="0BCB29D2" w:rsidR="00487E92" w:rsidRDefault="00487E92" w:rsidP="00574E6D">
      <w:pPr>
        <w:tabs>
          <w:tab w:val="left" w:pos="1065"/>
        </w:tabs>
      </w:pPr>
    </w:p>
    <w:p w14:paraId="0C1021A1" w14:textId="61E6C3C6" w:rsidR="00487E92" w:rsidRDefault="00487E92" w:rsidP="00574E6D">
      <w:pPr>
        <w:tabs>
          <w:tab w:val="left" w:pos="1065"/>
        </w:tabs>
      </w:pPr>
    </w:p>
    <w:p w14:paraId="6CF17C29" w14:textId="07352D0E" w:rsidR="00487E92" w:rsidRDefault="00487E92" w:rsidP="00574E6D">
      <w:pPr>
        <w:tabs>
          <w:tab w:val="left" w:pos="1065"/>
        </w:tabs>
      </w:pPr>
    </w:p>
    <w:p w14:paraId="1E0E24D1" w14:textId="1FA71848" w:rsidR="00487E92" w:rsidRDefault="00487E92" w:rsidP="00574E6D">
      <w:pPr>
        <w:tabs>
          <w:tab w:val="left" w:pos="1065"/>
        </w:tabs>
      </w:pPr>
    </w:p>
    <w:p w14:paraId="685B3807" w14:textId="0E815563" w:rsidR="00487E92" w:rsidRDefault="00487E92" w:rsidP="00574E6D">
      <w:pPr>
        <w:tabs>
          <w:tab w:val="left" w:pos="1065"/>
        </w:tabs>
      </w:pPr>
    </w:p>
    <w:p w14:paraId="12B57F93" w14:textId="57EBDE40" w:rsidR="00487E92" w:rsidRDefault="00487E92" w:rsidP="00574E6D">
      <w:pPr>
        <w:tabs>
          <w:tab w:val="left" w:pos="1065"/>
        </w:tabs>
      </w:pPr>
    </w:p>
    <w:p w14:paraId="0EBA31C4" w14:textId="1813F0FD" w:rsidR="00487E92" w:rsidRDefault="00487E92" w:rsidP="00574E6D">
      <w:pPr>
        <w:tabs>
          <w:tab w:val="left" w:pos="1065"/>
        </w:tabs>
      </w:pPr>
    </w:p>
    <w:p w14:paraId="5010EA02" w14:textId="33EE2F3C" w:rsidR="00487E92" w:rsidRDefault="00487E92" w:rsidP="00574E6D">
      <w:pPr>
        <w:tabs>
          <w:tab w:val="left" w:pos="1065"/>
        </w:tabs>
      </w:pPr>
    </w:p>
    <w:p w14:paraId="5396E8D6" w14:textId="5F6F43FD" w:rsidR="00487E92" w:rsidRDefault="00487E92" w:rsidP="00574E6D">
      <w:pPr>
        <w:tabs>
          <w:tab w:val="left" w:pos="1065"/>
        </w:tabs>
      </w:pPr>
    </w:p>
    <w:p w14:paraId="4A90307A" w14:textId="18A0A3EC" w:rsidR="00487E92" w:rsidRDefault="00487E92" w:rsidP="00574E6D">
      <w:pPr>
        <w:tabs>
          <w:tab w:val="left" w:pos="1065"/>
        </w:tabs>
      </w:pPr>
    </w:p>
    <w:p w14:paraId="65BD41EA" w14:textId="28969C27" w:rsidR="00487E92" w:rsidRDefault="00487E92" w:rsidP="00574E6D">
      <w:pPr>
        <w:tabs>
          <w:tab w:val="left" w:pos="1065"/>
        </w:tabs>
      </w:pPr>
    </w:p>
    <w:p w14:paraId="34F15E75" w14:textId="2AC183A0" w:rsidR="00487E92" w:rsidRDefault="00487E92" w:rsidP="00574E6D">
      <w:pPr>
        <w:tabs>
          <w:tab w:val="left" w:pos="1065"/>
        </w:tabs>
      </w:pPr>
    </w:p>
    <w:p w14:paraId="5CE351C9" w14:textId="17C582DC" w:rsidR="00487E92" w:rsidRDefault="00487E92" w:rsidP="00574E6D">
      <w:pPr>
        <w:tabs>
          <w:tab w:val="left" w:pos="1065"/>
        </w:tabs>
      </w:pPr>
    </w:p>
    <w:p w14:paraId="0F39E88C" w14:textId="3B9B064C" w:rsidR="00487E92" w:rsidRDefault="00487E92" w:rsidP="00574E6D">
      <w:pPr>
        <w:tabs>
          <w:tab w:val="left" w:pos="1065"/>
        </w:tabs>
      </w:pPr>
    </w:p>
    <w:p w14:paraId="454D575E" w14:textId="431D8F1C" w:rsidR="00487E92" w:rsidRDefault="00487E92" w:rsidP="00574E6D">
      <w:pPr>
        <w:tabs>
          <w:tab w:val="left" w:pos="1065"/>
        </w:tabs>
      </w:pPr>
    </w:p>
    <w:p w14:paraId="6007F678" w14:textId="2C873682" w:rsidR="00487E92" w:rsidRDefault="00487E92" w:rsidP="00574E6D">
      <w:pPr>
        <w:tabs>
          <w:tab w:val="left" w:pos="1065"/>
        </w:tabs>
      </w:pPr>
    </w:p>
    <w:p w14:paraId="5A42D5B1" w14:textId="510CD78B" w:rsidR="00487E92" w:rsidRDefault="00487E92" w:rsidP="00574E6D">
      <w:pPr>
        <w:tabs>
          <w:tab w:val="left" w:pos="1065"/>
        </w:tabs>
      </w:pPr>
    </w:p>
    <w:p w14:paraId="3C0CD215" w14:textId="77777777" w:rsidR="00A17197" w:rsidRDefault="00A17197">
      <w:pPr>
        <w:rPr>
          <w:b/>
        </w:rPr>
      </w:pPr>
      <w:r>
        <w:rPr>
          <w:b/>
        </w:rPr>
        <w:br w:type="page"/>
      </w:r>
    </w:p>
    <w:p w14:paraId="64BA6860" w14:textId="0ECF26B6" w:rsidR="00487E92" w:rsidRDefault="00487E92" w:rsidP="00487E92">
      <w:pPr>
        <w:jc w:val="center"/>
        <w:rPr>
          <w:b/>
        </w:rPr>
      </w:pPr>
      <w:r w:rsidRPr="00651982">
        <w:rPr>
          <w:b/>
        </w:rPr>
        <w:t xml:space="preserve">APPENDIX </w:t>
      </w:r>
      <w:r w:rsidR="005537E8">
        <w:rPr>
          <w:b/>
        </w:rPr>
        <w:t>1D</w:t>
      </w:r>
      <w:r w:rsidRPr="00651982">
        <w:rPr>
          <w:b/>
        </w:rPr>
        <w:t xml:space="preserve"> to Call for </w:t>
      </w:r>
      <w:r w:rsidR="006D541E">
        <w:rPr>
          <w:b/>
        </w:rPr>
        <w:t>Service</w:t>
      </w:r>
      <w:r w:rsidRPr="00651982">
        <w:rPr>
          <w:b/>
        </w:rPr>
        <w:t xml:space="preserve"> No. </w:t>
      </w:r>
      <w:r w:rsidR="006D541E">
        <w:rPr>
          <w:b/>
        </w:rPr>
        <w:t>MDB/001/2019</w:t>
      </w:r>
    </w:p>
    <w:p w14:paraId="3EC72E1E" w14:textId="77777777" w:rsidR="005537E8" w:rsidRPr="00651982" w:rsidRDefault="005537E8" w:rsidP="00487E92">
      <w:pPr>
        <w:jc w:val="center"/>
        <w:rPr>
          <w:b/>
        </w:rPr>
      </w:pPr>
    </w:p>
    <w:p w14:paraId="5E430636" w14:textId="77777777" w:rsidR="00487E92" w:rsidRPr="00651982" w:rsidRDefault="00487E92" w:rsidP="00487E92">
      <w:pPr>
        <w:jc w:val="center"/>
        <w:rPr>
          <w:b/>
        </w:rPr>
      </w:pPr>
      <w:r w:rsidRPr="00651982">
        <w:rPr>
          <w:b/>
        </w:rPr>
        <w:t>STATEMENT REGARDING SITUATIONS OF EXCLUSION - 2</w:t>
      </w:r>
    </w:p>
    <w:p w14:paraId="4C522F91" w14:textId="77777777" w:rsidR="00487E92" w:rsidRPr="00651982" w:rsidRDefault="00487E92" w:rsidP="00487E92">
      <w:pPr>
        <w:jc w:val="center"/>
        <w:rPr>
          <w:b/>
        </w:rPr>
      </w:pPr>
    </w:p>
    <w:p w14:paraId="07F7A160" w14:textId="795AB06E" w:rsidR="00487E92" w:rsidRDefault="00487E92" w:rsidP="00487E92">
      <w:pPr>
        <w:jc w:val="both"/>
      </w:pPr>
      <w:r>
        <w:t xml:space="preserve">The undersigned certifies/certify that the (Applicant) is not in any of the situations which would exclude it from taking part in this </w:t>
      </w:r>
      <w:r w:rsidR="003A5818">
        <w:t>C</w:t>
      </w:r>
      <w:r>
        <w:t xml:space="preserve">all for </w:t>
      </w:r>
      <w:r w:rsidR="006D541E">
        <w:t>Service</w:t>
      </w:r>
      <w:r>
        <w:t xml:space="preserve"> and accordingly declared(s) that the (</w:t>
      </w:r>
      <w:r w:rsidRPr="00CF72F9">
        <w:rPr>
          <w:i/>
        </w:rPr>
        <w:t>Applicant</w:t>
      </w:r>
      <w:r>
        <w:t>):</w:t>
      </w:r>
    </w:p>
    <w:p w14:paraId="41F68F3B" w14:textId="77777777" w:rsidR="00487E92" w:rsidRDefault="00487E92" w:rsidP="00487E92">
      <w:pPr>
        <w:jc w:val="both"/>
      </w:pPr>
    </w:p>
    <w:p w14:paraId="2AE19C7B" w14:textId="77777777" w:rsidR="00487E92" w:rsidRDefault="00487E92" w:rsidP="00D90932">
      <w:pPr>
        <w:pStyle w:val="ListParagraph"/>
        <w:numPr>
          <w:ilvl w:val="0"/>
          <w:numId w:val="30"/>
        </w:numPr>
        <w:spacing w:after="160" w:line="259" w:lineRule="auto"/>
        <w:jc w:val="both"/>
      </w:pPr>
      <w:r>
        <w:t>Complies with all Community and National rules and policies in relation to Competition;</w:t>
      </w:r>
    </w:p>
    <w:p w14:paraId="2C3CF08E" w14:textId="77777777" w:rsidR="00487E92" w:rsidRDefault="00487E92" w:rsidP="00D90932">
      <w:pPr>
        <w:pStyle w:val="ListParagraph"/>
        <w:numPr>
          <w:ilvl w:val="0"/>
          <w:numId w:val="30"/>
        </w:numPr>
        <w:spacing w:after="160" w:line="259" w:lineRule="auto"/>
        <w:jc w:val="both"/>
      </w:pPr>
      <w:r>
        <w:t>Complies with all Community and National rules and policies in relation to the goal of protecting and improving the environment and promoting sustainable development;</w:t>
      </w:r>
    </w:p>
    <w:p w14:paraId="38E53135" w14:textId="77777777" w:rsidR="00487E92" w:rsidRDefault="00487E92" w:rsidP="00D90932">
      <w:pPr>
        <w:pStyle w:val="ListParagraph"/>
        <w:numPr>
          <w:ilvl w:val="0"/>
          <w:numId w:val="30"/>
        </w:numPr>
        <w:spacing w:after="160" w:line="259" w:lineRule="auto"/>
        <w:jc w:val="both"/>
      </w:pPr>
      <w:r>
        <w:t>Complies with all Community and National rules and policies in relation to gender equality and non-discrimination;</w:t>
      </w:r>
    </w:p>
    <w:p w14:paraId="4B9D8BE1" w14:textId="77777777" w:rsidR="00487E92" w:rsidRDefault="00487E92" w:rsidP="00D90932">
      <w:pPr>
        <w:pStyle w:val="ListParagraph"/>
        <w:numPr>
          <w:ilvl w:val="0"/>
          <w:numId w:val="30"/>
        </w:numPr>
        <w:spacing w:after="160" w:line="259" w:lineRule="auto"/>
        <w:jc w:val="both"/>
      </w:pPr>
      <w:r>
        <w:t>Confirms its willingness and readiness to respect the information and publicity provisions applicable to this Financial Instrument.</w:t>
      </w:r>
    </w:p>
    <w:p w14:paraId="760C1778" w14:textId="77777777" w:rsidR="00487E92" w:rsidRDefault="00487E92" w:rsidP="00487E92">
      <w:pPr>
        <w:pStyle w:val="ListParagraph"/>
        <w:ind w:left="1080"/>
        <w:jc w:val="both"/>
      </w:pPr>
    </w:p>
    <w:p w14:paraId="48ED438A" w14:textId="77777777" w:rsidR="00487E92" w:rsidRDefault="00487E92" w:rsidP="00487E92">
      <w:pPr>
        <w:jc w:val="both"/>
      </w:pPr>
      <w:r>
        <w:t>Yours sincerely</w:t>
      </w:r>
    </w:p>
    <w:p w14:paraId="5144E32B" w14:textId="77777777" w:rsidR="00487E92" w:rsidRDefault="00487E92" w:rsidP="00487E92">
      <w:pPr>
        <w:jc w:val="both"/>
      </w:pPr>
    </w:p>
    <w:p w14:paraId="60A67900" w14:textId="77777777" w:rsidR="00A4515C" w:rsidRDefault="00A4515C" w:rsidP="00487E92">
      <w:pPr>
        <w:jc w:val="both"/>
      </w:pPr>
    </w:p>
    <w:p w14:paraId="5ACBC0E3" w14:textId="0B29E0EC" w:rsidR="00487E92" w:rsidRDefault="00487E92" w:rsidP="00487E92">
      <w:pPr>
        <w:jc w:val="both"/>
      </w:pPr>
      <w:r>
        <w:t>Signature</w:t>
      </w:r>
    </w:p>
    <w:p w14:paraId="5E452B67" w14:textId="77777777" w:rsidR="00A4515C" w:rsidRDefault="00A4515C" w:rsidP="00487E92">
      <w:pPr>
        <w:jc w:val="both"/>
      </w:pPr>
    </w:p>
    <w:p w14:paraId="55B39D41" w14:textId="3C4D0BA7" w:rsidR="00487E92" w:rsidRDefault="00487E92" w:rsidP="00487E92">
      <w:pPr>
        <w:jc w:val="both"/>
      </w:pPr>
      <w:r>
        <w:t xml:space="preserve">Name and position in </w:t>
      </w:r>
      <w:r w:rsidR="00A4515C">
        <w:t>c</w:t>
      </w:r>
      <w:r>
        <w:t>apitals:</w:t>
      </w:r>
      <w:r>
        <w:tab/>
      </w:r>
      <w:r>
        <w:tab/>
      </w:r>
      <w:r>
        <w:tab/>
      </w:r>
      <w:r>
        <w:tab/>
      </w:r>
      <w:r>
        <w:tab/>
      </w:r>
      <w:r w:rsidR="00A4515C">
        <w:t xml:space="preserve">              </w:t>
      </w:r>
      <w:r>
        <w:t>Stamp of Applicant’s</w:t>
      </w:r>
    </w:p>
    <w:p w14:paraId="73A90F08" w14:textId="77777777" w:rsidR="00A4515C" w:rsidRDefault="00A4515C" w:rsidP="00487E92">
      <w:pPr>
        <w:jc w:val="both"/>
      </w:pPr>
    </w:p>
    <w:p w14:paraId="66A4A9D1" w14:textId="446945B3" w:rsidR="00487E92" w:rsidRDefault="00487E92" w:rsidP="00487E92">
      <w:pPr>
        <w:jc w:val="both"/>
      </w:pPr>
      <w:r>
        <w:t xml:space="preserve">Applicant’s </w:t>
      </w:r>
      <w:r w:rsidR="00A4515C">
        <w:t>n</w:t>
      </w:r>
      <w:r>
        <w:t>ame</w:t>
      </w:r>
    </w:p>
    <w:p w14:paraId="5520977D" w14:textId="77777777" w:rsidR="00A4515C" w:rsidRDefault="00A4515C" w:rsidP="00487E92">
      <w:pPr>
        <w:jc w:val="both"/>
      </w:pPr>
    </w:p>
    <w:p w14:paraId="5613A3A5" w14:textId="2B3B8C5A" w:rsidR="00487E92" w:rsidRPr="000E3B87" w:rsidRDefault="00A4515C" w:rsidP="00487E92">
      <w:pPr>
        <w:jc w:val="both"/>
        <w:rPr>
          <w:i/>
        </w:rPr>
      </w:pPr>
      <w:r>
        <w:t>Address</w:t>
      </w:r>
      <w:r w:rsidR="00487E92">
        <w:t>:</w:t>
      </w:r>
      <w:r w:rsidR="00487E92">
        <w:tab/>
      </w:r>
      <w:r w:rsidR="00487E92">
        <w:tab/>
      </w:r>
      <w:r w:rsidR="00487E92">
        <w:tab/>
      </w:r>
      <w:r w:rsidR="00487E92">
        <w:tab/>
      </w:r>
      <w:r w:rsidR="00487E92">
        <w:tab/>
      </w:r>
      <w:r w:rsidR="00487E92">
        <w:tab/>
      </w:r>
      <w:r w:rsidR="00487E92">
        <w:tab/>
      </w:r>
      <w:r w:rsidR="00487E92">
        <w:tab/>
        <w:t>Date (</w:t>
      </w:r>
      <w:r w:rsidR="00487E92">
        <w:rPr>
          <w:i/>
        </w:rPr>
        <w:t>day/month year):</w:t>
      </w:r>
    </w:p>
    <w:p w14:paraId="30B24048" w14:textId="4158E9FD" w:rsidR="00487E92" w:rsidRDefault="00487E92" w:rsidP="00574E6D">
      <w:pPr>
        <w:tabs>
          <w:tab w:val="left" w:pos="1065"/>
        </w:tabs>
      </w:pPr>
    </w:p>
    <w:p w14:paraId="0B1574F7" w14:textId="5134EA57" w:rsidR="00487E92" w:rsidRDefault="00487E92" w:rsidP="00574E6D">
      <w:pPr>
        <w:tabs>
          <w:tab w:val="left" w:pos="1065"/>
        </w:tabs>
      </w:pPr>
    </w:p>
    <w:p w14:paraId="760EF7CD" w14:textId="37455867" w:rsidR="00487E92" w:rsidRDefault="00487E92" w:rsidP="00574E6D">
      <w:pPr>
        <w:tabs>
          <w:tab w:val="left" w:pos="1065"/>
        </w:tabs>
      </w:pPr>
    </w:p>
    <w:p w14:paraId="7A5D34AA" w14:textId="3E4B8CD7" w:rsidR="00487E92" w:rsidRDefault="00487E92" w:rsidP="00574E6D">
      <w:pPr>
        <w:tabs>
          <w:tab w:val="left" w:pos="1065"/>
        </w:tabs>
      </w:pPr>
    </w:p>
    <w:p w14:paraId="7366EE9E" w14:textId="4EDD0D6C" w:rsidR="00487E92" w:rsidRDefault="00487E92" w:rsidP="00574E6D">
      <w:pPr>
        <w:tabs>
          <w:tab w:val="left" w:pos="1065"/>
        </w:tabs>
      </w:pPr>
    </w:p>
    <w:p w14:paraId="1158C2FA" w14:textId="153CA306" w:rsidR="00487E92" w:rsidRDefault="00487E92" w:rsidP="00574E6D">
      <w:pPr>
        <w:tabs>
          <w:tab w:val="left" w:pos="1065"/>
        </w:tabs>
      </w:pPr>
    </w:p>
    <w:p w14:paraId="5246EB7B" w14:textId="05C4A069" w:rsidR="00487E92" w:rsidRDefault="00487E92" w:rsidP="00574E6D">
      <w:pPr>
        <w:tabs>
          <w:tab w:val="left" w:pos="1065"/>
        </w:tabs>
      </w:pPr>
    </w:p>
    <w:p w14:paraId="634A7DA3" w14:textId="3BC2B779" w:rsidR="00487E92" w:rsidRDefault="00487E92" w:rsidP="00574E6D">
      <w:pPr>
        <w:tabs>
          <w:tab w:val="left" w:pos="1065"/>
        </w:tabs>
      </w:pPr>
    </w:p>
    <w:p w14:paraId="38056DF5" w14:textId="4358110B" w:rsidR="00487E92" w:rsidRDefault="00487E92" w:rsidP="00574E6D">
      <w:pPr>
        <w:tabs>
          <w:tab w:val="left" w:pos="1065"/>
        </w:tabs>
      </w:pPr>
    </w:p>
    <w:p w14:paraId="24929FF3" w14:textId="280EF5A9" w:rsidR="00487E92" w:rsidRDefault="00487E92" w:rsidP="00574E6D">
      <w:pPr>
        <w:tabs>
          <w:tab w:val="left" w:pos="1065"/>
        </w:tabs>
      </w:pPr>
    </w:p>
    <w:p w14:paraId="60F319B4" w14:textId="692DE8E7" w:rsidR="00487E92" w:rsidRDefault="00487E92" w:rsidP="00574E6D">
      <w:pPr>
        <w:tabs>
          <w:tab w:val="left" w:pos="1065"/>
        </w:tabs>
      </w:pPr>
    </w:p>
    <w:p w14:paraId="214CCFF2" w14:textId="1AD22B37" w:rsidR="00487E92" w:rsidRDefault="00487E92" w:rsidP="00574E6D">
      <w:pPr>
        <w:tabs>
          <w:tab w:val="left" w:pos="1065"/>
        </w:tabs>
      </w:pPr>
    </w:p>
    <w:p w14:paraId="0BD0AE95" w14:textId="5FC6362F" w:rsidR="00487E92" w:rsidRDefault="00487E92" w:rsidP="00574E6D">
      <w:pPr>
        <w:tabs>
          <w:tab w:val="left" w:pos="1065"/>
        </w:tabs>
      </w:pPr>
    </w:p>
    <w:p w14:paraId="5219A1C8" w14:textId="3C606766" w:rsidR="00487E92" w:rsidRDefault="00487E92" w:rsidP="00574E6D">
      <w:pPr>
        <w:tabs>
          <w:tab w:val="left" w:pos="1065"/>
        </w:tabs>
      </w:pPr>
    </w:p>
    <w:p w14:paraId="596B838D" w14:textId="0CA2ADB7" w:rsidR="00487E92" w:rsidRDefault="00487E92" w:rsidP="00574E6D">
      <w:pPr>
        <w:tabs>
          <w:tab w:val="left" w:pos="1065"/>
        </w:tabs>
      </w:pPr>
    </w:p>
    <w:p w14:paraId="57EEF1C3" w14:textId="04BDAD18" w:rsidR="00487E92" w:rsidRDefault="00487E92" w:rsidP="00574E6D">
      <w:pPr>
        <w:tabs>
          <w:tab w:val="left" w:pos="1065"/>
        </w:tabs>
      </w:pPr>
    </w:p>
    <w:p w14:paraId="7BA630BB" w14:textId="31A86CEC" w:rsidR="00487E92" w:rsidRDefault="00487E92" w:rsidP="00574E6D">
      <w:pPr>
        <w:tabs>
          <w:tab w:val="left" w:pos="1065"/>
        </w:tabs>
      </w:pPr>
    </w:p>
    <w:p w14:paraId="25675E4C" w14:textId="099944CE" w:rsidR="00487E92" w:rsidRDefault="00487E92" w:rsidP="00574E6D">
      <w:pPr>
        <w:tabs>
          <w:tab w:val="left" w:pos="1065"/>
        </w:tabs>
      </w:pPr>
    </w:p>
    <w:p w14:paraId="57F15958" w14:textId="60FD5BE2" w:rsidR="00487E92" w:rsidRDefault="00487E92" w:rsidP="00574E6D">
      <w:pPr>
        <w:tabs>
          <w:tab w:val="left" w:pos="1065"/>
        </w:tabs>
      </w:pPr>
    </w:p>
    <w:p w14:paraId="72BAE1E9" w14:textId="0679AEAB" w:rsidR="00487E92" w:rsidRDefault="00487E92" w:rsidP="00574E6D">
      <w:pPr>
        <w:tabs>
          <w:tab w:val="left" w:pos="1065"/>
        </w:tabs>
      </w:pPr>
    </w:p>
    <w:p w14:paraId="052E95E4" w14:textId="6738EF0B" w:rsidR="00487E92" w:rsidRDefault="00487E92" w:rsidP="00574E6D">
      <w:pPr>
        <w:tabs>
          <w:tab w:val="left" w:pos="1065"/>
        </w:tabs>
      </w:pPr>
    </w:p>
    <w:p w14:paraId="3EF5C164" w14:textId="4B8702CE" w:rsidR="002568F0" w:rsidRDefault="002568F0"/>
    <w:sectPr w:rsidR="002568F0" w:rsidSect="00CC3FA8">
      <w:footerReference w:type="default" r:id="rId13"/>
      <w:headerReference w:type="first" r:id="rId14"/>
      <w:footerReference w:type="first" r:id="rId15"/>
      <w:pgSz w:w="11906" w:h="16838"/>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9B69" w14:textId="77777777" w:rsidR="00557B3F" w:rsidRDefault="00557B3F" w:rsidP="00D158BD">
      <w:r>
        <w:separator/>
      </w:r>
    </w:p>
  </w:endnote>
  <w:endnote w:type="continuationSeparator" w:id="0">
    <w:p w14:paraId="20E18834" w14:textId="77777777" w:rsidR="00557B3F" w:rsidRDefault="00557B3F" w:rsidP="00D158BD">
      <w:r>
        <w:continuationSeparator/>
      </w:r>
    </w:p>
  </w:endnote>
  <w:endnote w:type="continuationNotice" w:id="1">
    <w:p w14:paraId="487A01C6" w14:textId="77777777" w:rsidR="00557B3F" w:rsidRDefault="0055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613"/>
      <w:docPartObj>
        <w:docPartGallery w:val="Page Numbers (Bottom of Page)"/>
        <w:docPartUnique/>
      </w:docPartObj>
    </w:sdtPr>
    <w:sdtEndPr>
      <w:rPr>
        <w:noProof/>
      </w:rPr>
    </w:sdtEndPr>
    <w:sdtContent>
      <w:p w14:paraId="5A3EE4AB" w14:textId="113B3A0A" w:rsidR="00483C22" w:rsidRDefault="00483C22">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443B411" w14:textId="77777777" w:rsidR="00483C22" w:rsidRDefault="0048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9175" w14:textId="15EEC5B3" w:rsidR="00483C22" w:rsidRPr="002779D7" w:rsidRDefault="002779D7" w:rsidP="002779D7">
    <w:pPr>
      <w:pStyle w:val="Footer"/>
    </w:pPr>
    <w:r>
      <w:rPr>
        <w:noProof/>
      </w:rPr>
      <w:drawing>
        <wp:inline distT="0" distB="0" distL="0" distR="0" wp14:anchorId="30D5E51A" wp14:editId="41F82199">
          <wp:extent cx="5731510" cy="833624"/>
          <wp:effectExtent l="0" t="0" r="254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3624"/>
                  </a:xfrm>
                  <a:prstGeom prst="rect">
                    <a:avLst/>
                  </a:prstGeom>
                  <a:noFill/>
                  <a:ln>
                    <a:noFill/>
                  </a:ln>
                </pic:spPr>
              </pic:pic>
            </a:graphicData>
          </a:graphic>
        </wp:inline>
      </w:drawing>
    </w:r>
    <w:r w:rsidR="00483C22" w:rsidRPr="002779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330F" w14:textId="77777777" w:rsidR="00557B3F" w:rsidRDefault="00557B3F" w:rsidP="00D158BD">
      <w:bookmarkStart w:id="0" w:name="_Hlk11067140"/>
      <w:bookmarkEnd w:id="0"/>
      <w:r>
        <w:separator/>
      </w:r>
    </w:p>
  </w:footnote>
  <w:footnote w:type="continuationSeparator" w:id="0">
    <w:p w14:paraId="0A374FF3" w14:textId="77777777" w:rsidR="00557B3F" w:rsidRDefault="00557B3F" w:rsidP="00D158BD">
      <w:r>
        <w:continuationSeparator/>
      </w:r>
    </w:p>
  </w:footnote>
  <w:footnote w:type="continuationNotice" w:id="1">
    <w:p w14:paraId="1165B56B" w14:textId="77777777" w:rsidR="00557B3F" w:rsidRDefault="00557B3F"/>
  </w:footnote>
  <w:footnote w:id="2">
    <w:p w14:paraId="56794E28" w14:textId="6EFE04A9" w:rsidR="00483C22" w:rsidRPr="00391091" w:rsidRDefault="00483C22" w:rsidP="001C44F5">
      <w:pPr>
        <w:pStyle w:val="FootnoteText"/>
        <w:jc w:val="both"/>
        <w:rPr>
          <w:rFonts w:cstheme="minorHAnsi"/>
          <w:sz w:val="16"/>
          <w:szCs w:val="16"/>
        </w:rPr>
      </w:pPr>
      <w:r w:rsidRPr="00391091">
        <w:rPr>
          <w:rStyle w:val="FootnoteReference"/>
          <w:rFonts w:cstheme="minorHAnsi"/>
        </w:rPr>
        <w:footnoteRef/>
      </w:r>
      <w:r w:rsidRPr="00391091">
        <w:rPr>
          <w:rFonts w:cstheme="minorHAnsi"/>
        </w:rPr>
        <w:t xml:space="preserve"> </w:t>
      </w:r>
      <w:r w:rsidRPr="00391091">
        <w:rPr>
          <w:rFonts w:cstheme="minorHAnsi"/>
          <w:sz w:val="16"/>
          <w:szCs w:val="16"/>
        </w:rPr>
        <w:t xml:space="preserve">821/2014 - </w:t>
      </w:r>
      <w:hyperlink r:id="rId1" w:history="1">
        <w:r w:rsidRPr="001C44F5">
          <w:rPr>
            <w:rFonts w:cstheme="minorHAnsi"/>
            <w:color w:val="444041"/>
            <w:sz w:val="15"/>
            <w:szCs w:val="15"/>
            <w:u w:val="single"/>
            <w:lang w:val="en"/>
          </w:rPr>
          <w:t>Commission Implementing Regulation (EU) No 821/2014</w:t>
        </w:r>
      </w:hyperlink>
      <w:r w:rsidRPr="001C44F5">
        <w:rPr>
          <w:rFonts w:cstheme="minorHAnsi"/>
          <w:color w:val="444041"/>
          <w:sz w:val="15"/>
          <w:szCs w:val="15"/>
          <w:lang w:val="en"/>
        </w:rPr>
        <w:t xml:space="preserve"> of 28 July 2014 laying down rules for the application of Regulation (EU) No 1303/2013 as regards detailed arrangements for the transfer and management of programme contributions, the reporting on financial instruments, technical characteristics of information and communication measures for operations and the system to record and store data.</w:t>
      </w:r>
    </w:p>
    <w:p w14:paraId="06B83D5C" w14:textId="77777777" w:rsidR="00483C22" w:rsidRDefault="00483C22" w:rsidP="00430053">
      <w:pPr>
        <w:pStyle w:val="FootnoteText"/>
      </w:pPr>
    </w:p>
  </w:footnote>
  <w:footnote w:id="3">
    <w:p w14:paraId="05FB24DE" w14:textId="77777777" w:rsidR="00483C22" w:rsidRDefault="00483C22" w:rsidP="00574E6D">
      <w:pPr>
        <w:pStyle w:val="FootnoteText"/>
      </w:pPr>
      <w:r>
        <w:rPr>
          <w:rStyle w:val="FootnoteReference"/>
        </w:rPr>
        <w:footnoteRef/>
      </w:r>
      <w:r>
        <w:t xml:space="preserve"> </w:t>
      </w:r>
      <w:r w:rsidRPr="00CF72F9">
        <w:rPr>
          <w:sz w:val="16"/>
          <w:szCs w:val="16"/>
        </w:rPr>
        <w:t xml:space="preserve">Joint Action of 21 December 1998 adopted by the Council </w:t>
      </w:r>
      <w:r w:rsidRPr="00CF72F9">
        <w:rPr>
          <w:sz w:val="16"/>
          <w:szCs w:val="16"/>
        </w:rPr>
        <w:t>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4">
    <w:p w14:paraId="0EC20875" w14:textId="77777777" w:rsidR="00483C22" w:rsidRDefault="00483C22" w:rsidP="00574E6D">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5">
    <w:p w14:paraId="44CB1FA2" w14:textId="77777777" w:rsidR="00483C22" w:rsidRPr="00CF72F9" w:rsidRDefault="00483C22" w:rsidP="00574E6D">
      <w:pPr>
        <w:pStyle w:val="FootnoteText"/>
        <w:rPr>
          <w:sz w:val="16"/>
          <w:szCs w:val="16"/>
        </w:rPr>
      </w:pPr>
      <w:r>
        <w:rPr>
          <w:rStyle w:val="FootnoteReference"/>
        </w:rPr>
        <w:footnoteRef/>
      </w:r>
      <w:r>
        <w:t xml:space="preserve"> </w:t>
      </w:r>
      <w:r>
        <w:rPr>
          <w:sz w:val="16"/>
          <w:szCs w:val="16"/>
        </w:rPr>
        <w:t xml:space="preserve">Directive 2005/60/EC of the European Parliament and of the council of 26 October 2005 on the prevention of the use of the financial system </w:t>
      </w:r>
      <w:r>
        <w:rPr>
          <w:sz w:val="16"/>
          <w:szCs w:val="16"/>
        </w:rPr>
        <w:t>for the purpose of money laundering and terrorist financing (official Journal of the European Union L309 of 25.11.2005), as amended from time to time</w:t>
      </w:r>
    </w:p>
  </w:footnote>
  <w:footnote w:id="6">
    <w:p w14:paraId="3F896D5B" w14:textId="77777777" w:rsidR="00483C22" w:rsidRPr="00CF72F9" w:rsidRDefault="00483C22" w:rsidP="00574E6D">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7">
    <w:p w14:paraId="16351E4B" w14:textId="77777777" w:rsidR="00483C22" w:rsidRPr="00805DBB" w:rsidRDefault="00483C22" w:rsidP="00574E6D">
      <w:pPr>
        <w:pStyle w:val="FootnoteText"/>
        <w:rPr>
          <w:sz w:val="16"/>
          <w:szCs w:val="16"/>
        </w:rPr>
      </w:pPr>
      <w:r>
        <w:rPr>
          <w:rStyle w:val="FootnoteReference"/>
        </w:rPr>
        <w:footnoteRef/>
      </w:r>
      <w:r>
        <w:t xml:space="preserve"> </w:t>
      </w:r>
      <w:r>
        <w:rPr>
          <w:sz w:val="16"/>
          <w:szCs w:val="16"/>
        </w:rPr>
        <w:t xml:space="preserve">Directive 2001/97/EC of the European Parliament and the Council of 4 December 2001 amending Council Directive 91/308/EEC on prevention of the use of the financial system </w:t>
      </w:r>
      <w:r>
        <w:rPr>
          <w:sz w:val="16"/>
          <w:szCs w:val="16"/>
        </w:rPr>
        <w:t>for the purpose of money laundering (Official Journal of the European communities L344 of 28.12.2001) as amended from time to time</w:t>
      </w:r>
    </w:p>
  </w:footnote>
  <w:footnote w:id="8">
    <w:p w14:paraId="0ED7DBBF" w14:textId="77777777" w:rsidR="00483C22" w:rsidRDefault="00483C22" w:rsidP="00574E6D">
      <w:pPr>
        <w:pStyle w:val="FootnoteText"/>
      </w:pPr>
      <w:r>
        <w:rPr>
          <w:rStyle w:val="FootnoteReference"/>
        </w:rPr>
        <w:footnoteRef/>
      </w:r>
      <w:r>
        <w:t xml:space="preserve"> </w:t>
      </w:r>
      <w:r w:rsidRPr="006D5EB9">
        <w:rPr>
          <w:sz w:val="16"/>
          <w:szCs w:val="16"/>
        </w:rPr>
        <w:t>Communication from the commission – community Guidelines as State aid and restructuring firms in difficulty (Official Journal of the European Union C244 of 1.10.2004), as amended or substituted by future Community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31"/>
    </w:tblGrid>
    <w:tr w:rsidR="001815AB" w14:paraId="506D60F1" w14:textId="77777777" w:rsidTr="00AD7CD8">
      <w:tc>
        <w:tcPr>
          <w:tcW w:w="4508" w:type="dxa"/>
        </w:tcPr>
        <w:p w14:paraId="3C755F2B" w14:textId="6296B8F2" w:rsidR="001815AB" w:rsidRDefault="00A31838" w:rsidP="001815AB">
          <w:pPr>
            <w:rPr>
              <w:b/>
              <w:sz w:val="24"/>
              <w:szCs w:val="24"/>
            </w:rPr>
          </w:pPr>
          <w:r>
            <w:rPr>
              <w:b/>
              <w:noProof/>
              <w:sz w:val="24"/>
              <w:szCs w:val="24"/>
            </w:rPr>
            <w:drawing>
              <wp:anchor distT="0" distB="0" distL="114300" distR="114300" simplePos="0" relativeHeight="251661312" behindDoc="0" locked="0" layoutInCell="1" allowOverlap="1" wp14:anchorId="4630D0EE" wp14:editId="35DDE6E1">
                <wp:simplePos x="0" y="0"/>
                <wp:positionH relativeFrom="column">
                  <wp:posOffset>1482090</wp:posOffset>
                </wp:positionH>
                <wp:positionV relativeFrom="paragraph">
                  <wp:posOffset>72086</wp:posOffset>
                </wp:positionV>
                <wp:extent cx="1999615" cy="609600"/>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09600"/>
                        </a:xfrm>
                        <a:prstGeom prst="rect">
                          <a:avLst/>
                        </a:prstGeom>
                        <a:noFill/>
                      </pic:spPr>
                    </pic:pic>
                  </a:graphicData>
                </a:graphic>
                <wp14:sizeRelH relativeFrom="page">
                  <wp14:pctWidth>0</wp14:pctWidth>
                </wp14:sizeRelH>
                <wp14:sizeRelV relativeFrom="page">
                  <wp14:pctHeight>0</wp14:pctHeight>
                </wp14:sizeRelV>
              </wp:anchor>
            </w:drawing>
          </w:r>
        </w:p>
      </w:tc>
      <w:tc>
        <w:tcPr>
          <w:tcW w:w="5131" w:type="dxa"/>
        </w:tcPr>
        <w:p w14:paraId="7DD0DAF8" w14:textId="5830C185" w:rsidR="001815AB" w:rsidRDefault="001815AB" w:rsidP="001815AB">
          <w:pPr>
            <w:jc w:val="right"/>
            <w:rPr>
              <w:b/>
              <w:sz w:val="24"/>
              <w:szCs w:val="24"/>
            </w:rPr>
          </w:pPr>
        </w:p>
      </w:tc>
    </w:tr>
    <w:tr w:rsidR="001815AB" w14:paraId="44AD44AF" w14:textId="77777777" w:rsidTr="00AD7CD8">
      <w:trPr>
        <w:trHeight w:val="1549"/>
      </w:trPr>
      <w:tc>
        <w:tcPr>
          <w:tcW w:w="4508" w:type="dxa"/>
        </w:tcPr>
        <w:p w14:paraId="0F2CD957" w14:textId="1E95597C" w:rsidR="001815AB" w:rsidRDefault="001815AB" w:rsidP="001815AB">
          <w:pPr>
            <w:rPr>
              <w:b/>
              <w:noProof/>
              <w:sz w:val="24"/>
              <w:szCs w:val="24"/>
            </w:rPr>
          </w:pPr>
        </w:p>
        <w:p w14:paraId="469AA5A3" w14:textId="77777777" w:rsidR="001815AB" w:rsidRDefault="001815AB" w:rsidP="001815AB">
          <w:pPr>
            <w:rPr>
              <w:b/>
              <w:sz w:val="24"/>
              <w:szCs w:val="24"/>
            </w:rPr>
          </w:pPr>
        </w:p>
      </w:tc>
      <w:tc>
        <w:tcPr>
          <w:tcW w:w="5131" w:type="dxa"/>
        </w:tcPr>
        <w:p w14:paraId="4C6BC2F0" w14:textId="6E913B19" w:rsidR="00096F6C" w:rsidRDefault="00096F6C" w:rsidP="001815AB">
          <w:pPr>
            <w:jc w:val="right"/>
            <w:rPr>
              <w:rFonts w:ascii="Arial" w:hAnsi="Arial" w:cs="Arial"/>
              <w:color w:val="706F6F"/>
              <w:sz w:val="14"/>
              <w:szCs w:val="14"/>
              <w:lang w:eastAsia="en-GB"/>
            </w:rPr>
          </w:pPr>
        </w:p>
        <w:p w14:paraId="351D13AA" w14:textId="77777777" w:rsidR="00AD7CD8" w:rsidRDefault="00AD7CD8" w:rsidP="001815AB">
          <w:pPr>
            <w:jc w:val="right"/>
            <w:rPr>
              <w:rFonts w:ascii="Arial" w:hAnsi="Arial" w:cs="Arial"/>
              <w:color w:val="706F6F"/>
              <w:sz w:val="14"/>
              <w:szCs w:val="14"/>
              <w:lang w:eastAsia="en-GB"/>
            </w:rPr>
          </w:pPr>
        </w:p>
        <w:p w14:paraId="7E096A99" w14:textId="77777777" w:rsidR="00AD7CD8" w:rsidRDefault="00AD7CD8" w:rsidP="001815AB">
          <w:pPr>
            <w:jc w:val="right"/>
            <w:rPr>
              <w:rFonts w:ascii="Arial" w:hAnsi="Arial" w:cs="Arial"/>
              <w:color w:val="706F6F"/>
              <w:sz w:val="14"/>
              <w:szCs w:val="14"/>
              <w:lang w:eastAsia="en-GB"/>
            </w:rPr>
          </w:pPr>
        </w:p>
        <w:p w14:paraId="4B4B80EC" w14:textId="77777777" w:rsidR="00AD7CD8" w:rsidRDefault="00AD7CD8" w:rsidP="001815AB">
          <w:pPr>
            <w:jc w:val="right"/>
            <w:rPr>
              <w:rFonts w:ascii="Arial" w:hAnsi="Arial" w:cs="Arial"/>
              <w:color w:val="706F6F"/>
              <w:sz w:val="14"/>
              <w:szCs w:val="14"/>
              <w:lang w:eastAsia="en-GB"/>
            </w:rPr>
          </w:pPr>
        </w:p>
        <w:p w14:paraId="7E7BC0E0" w14:textId="77777777" w:rsidR="00AD7CD8" w:rsidRDefault="00AD7CD8" w:rsidP="001815AB">
          <w:pPr>
            <w:jc w:val="right"/>
            <w:rPr>
              <w:rFonts w:ascii="Arial" w:hAnsi="Arial" w:cs="Arial"/>
              <w:color w:val="706F6F"/>
              <w:sz w:val="14"/>
              <w:szCs w:val="14"/>
              <w:lang w:eastAsia="en-GB"/>
            </w:rPr>
          </w:pPr>
        </w:p>
        <w:p w14:paraId="35D13F8C" w14:textId="2A9DB028" w:rsidR="001815AB" w:rsidRPr="001815AB" w:rsidRDefault="001815AB" w:rsidP="001815AB">
          <w:pPr>
            <w:jc w:val="right"/>
            <w:rPr>
              <w:rFonts w:ascii="Arial" w:hAnsi="Arial" w:cs="Arial"/>
              <w:color w:val="706F6F"/>
              <w:sz w:val="14"/>
              <w:szCs w:val="14"/>
              <w:lang w:eastAsia="en-GB"/>
            </w:rPr>
          </w:pPr>
          <w:r w:rsidRPr="001815AB">
            <w:rPr>
              <w:rFonts w:ascii="Arial" w:hAnsi="Arial" w:cs="Arial"/>
              <w:color w:val="706F6F"/>
              <w:sz w:val="14"/>
              <w:szCs w:val="14"/>
              <w:lang w:eastAsia="en-GB"/>
            </w:rPr>
            <w:t>MINISTRY FOR EUROPEAN AFFAIRS AND EQUALITY</w:t>
          </w:r>
        </w:p>
        <w:p w14:paraId="377FB5D3" w14:textId="0F3612CE" w:rsidR="001815AB" w:rsidRPr="001815AB" w:rsidRDefault="003A4B59" w:rsidP="003A4B59">
          <w:pPr>
            <w:tabs>
              <w:tab w:val="left" w:pos="3375"/>
            </w:tabs>
            <w:rPr>
              <w:rFonts w:ascii="Arial" w:hAnsi="Arial" w:cs="Arial"/>
              <w:color w:val="706F6F"/>
              <w:sz w:val="14"/>
              <w:szCs w:val="14"/>
              <w:lang w:eastAsia="en-GB"/>
            </w:rPr>
          </w:pPr>
          <w:r>
            <w:rPr>
              <w:rFonts w:ascii="Arial" w:hAnsi="Arial" w:cs="Arial"/>
              <w:color w:val="706F6F"/>
              <w:sz w:val="14"/>
              <w:szCs w:val="14"/>
              <w:lang w:eastAsia="en-GB"/>
            </w:rPr>
            <w:tab/>
          </w:r>
        </w:p>
        <w:p w14:paraId="1173837C" w14:textId="77777777" w:rsidR="00A31838" w:rsidRDefault="001815AB" w:rsidP="001815AB">
          <w:pPr>
            <w:jc w:val="right"/>
            <w:rPr>
              <w:rFonts w:ascii="Arial" w:hAnsi="Arial" w:cs="Arial"/>
              <w:color w:val="706F6F"/>
              <w:sz w:val="14"/>
              <w:szCs w:val="14"/>
              <w:lang w:eastAsia="en-GB"/>
            </w:rPr>
          </w:pPr>
          <w:r w:rsidRPr="001815AB">
            <w:rPr>
              <w:rFonts w:ascii="Arial" w:hAnsi="Arial" w:cs="Arial"/>
              <w:color w:val="706F6F"/>
              <w:sz w:val="14"/>
              <w:szCs w:val="14"/>
              <w:lang w:eastAsia="en-GB"/>
            </w:rPr>
            <w:t xml:space="preserve">PARLIAMENTARY SECRETARIAT FOR </w:t>
          </w:r>
        </w:p>
        <w:p w14:paraId="396F42EF" w14:textId="287C27C7" w:rsidR="001815AB" w:rsidRPr="001815AB" w:rsidRDefault="001815AB" w:rsidP="001815AB">
          <w:pPr>
            <w:jc w:val="right"/>
            <w:rPr>
              <w:rFonts w:ascii="Arial" w:hAnsi="Arial" w:cs="Arial"/>
              <w:color w:val="706F6F"/>
              <w:sz w:val="14"/>
              <w:szCs w:val="14"/>
              <w:lang w:eastAsia="en-GB"/>
            </w:rPr>
          </w:pPr>
          <w:r w:rsidRPr="001815AB">
            <w:rPr>
              <w:rFonts w:ascii="Arial" w:hAnsi="Arial" w:cs="Arial"/>
              <w:color w:val="706F6F"/>
              <w:sz w:val="14"/>
              <w:szCs w:val="14"/>
              <w:lang w:eastAsia="en-GB"/>
            </w:rPr>
            <w:t>EUROPEAN FUNDS AND SOCIAL DIALOGUE</w:t>
          </w:r>
        </w:p>
        <w:p w14:paraId="7C679826" w14:textId="77777777" w:rsidR="001815AB" w:rsidRPr="00064D13" w:rsidRDefault="001815AB" w:rsidP="001815AB">
          <w:pPr>
            <w:jc w:val="right"/>
            <w:rPr>
              <w:rFonts w:ascii="Arial" w:hAnsi="Arial" w:cs="Arial"/>
              <w:color w:val="706F6F"/>
              <w:sz w:val="16"/>
              <w:szCs w:val="16"/>
              <w:lang w:eastAsia="en-GB"/>
            </w:rPr>
          </w:pPr>
        </w:p>
        <w:p w14:paraId="2D44D507" w14:textId="77777777" w:rsidR="001815AB" w:rsidRPr="00064D13" w:rsidRDefault="001815AB" w:rsidP="001815AB">
          <w:pPr>
            <w:jc w:val="right"/>
            <w:rPr>
              <w:rFonts w:ascii="Arial" w:hAnsi="Arial" w:cs="Arial"/>
              <w:color w:val="706F6F"/>
              <w:sz w:val="16"/>
              <w:szCs w:val="16"/>
              <w:lang w:eastAsia="en-GB"/>
            </w:rPr>
          </w:pPr>
        </w:p>
      </w:tc>
    </w:tr>
  </w:tbl>
  <w:p w14:paraId="082CDF0B" w14:textId="549521D8" w:rsidR="001815AB" w:rsidRDefault="00A31838" w:rsidP="00096F6C">
    <w:pPr>
      <w:pStyle w:val="Header"/>
      <w:jc w:val="right"/>
    </w:pPr>
    <w:r>
      <w:rPr>
        <w:noProof/>
      </w:rPr>
      <w:drawing>
        <wp:anchor distT="0" distB="0" distL="114300" distR="114300" simplePos="0" relativeHeight="251664384" behindDoc="0" locked="0" layoutInCell="1" allowOverlap="1" wp14:anchorId="13D6AA36" wp14:editId="70DCD254">
          <wp:simplePos x="0" y="0"/>
          <wp:positionH relativeFrom="column">
            <wp:posOffset>5528945</wp:posOffset>
          </wp:positionH>
          <wp:positionV relativeFrom="paragraph">
            <wp:posOffset>-1352219</wp:posOffset>
          </wp:positionV>
          <wp:extent cx="540385" cy="723900"/>
          <wp:effectExtent l="0" t="0" r="0" b="0"/>
          <wp:wrapNone/>
          <wp:docPr id="44" name="Picture 44" descr="Image result for gov.m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mt embl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3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3360" behindDoc="0" locked="0" layoutInCell="1" allowOverlap="1" wp14:anchorId="045EE938" wp14:editId="1F8B6ED2">
          <wp:simplePos x="0" y="0"/>
          <wp:positionH relativeFrom="column">
            <wp:posOffset>-262255</wp:posOffset>
          </wp:positionH>
          <wp:positionV relativeFrom="paragraph">
            <wp:posOffset>-1323009</wp:posOffset>
          </wp:positionV>
          <wp:extent cx="1457325" cy="664210"/>
          <wp:effectExtent l="0" t="0" r="9525"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57D"/>
    <w:multiLevelType w:val="hybridMultilevel"/>
    <w:tmpl w:val="622A4BA8"/>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64232A3"/>
    <w:multiLevelType w:val="hybridMultilevel"/>
    <w:tmpl w:val="1518879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066C7F38"/>
    <w:multiLevelType w:val="hybridMultilevel"/>
    <w:tmpl w:val="2E84C83E"/>
    <w:lvl w:ilvl="0" w:tplc="0B26F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4064BC"/>
    <w:multiLevelType w:val="hybridMultilevel"/>
    <w:tmpl w:val="E71CCDD6"/>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50B"/>
    <w:multiLevelType w:val="hybridMultilevel"/>
    <w:tmpl w:val="FD7AE2C0"/>
    <w:lvl w:ilvl="0" w:tplc="5C12B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B55AF"/>
    <w:multiLevelType w:val="hybridMultilevel"/>
    <w:tmpl w:val="BE1604A4"/>
    <w:lvl w:ilvl="0" w:tplc="85D0F6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871A0F"/>
    <w:multiLevelType w:val="hybridMultilevel"/>
    <w:tmpl w:val="AB1CBB2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B28255A"/>
    <w:multiLevelType w:val="hybridMultilevel"/>
    <w:tmpl w:val="0456A9EE"/>
    <w:lvl w:ilvl="0" w:tplc="85D0F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24C2B"/>
    <w:multiLevelType w:val="hybridMultilevel"/>
    <w:tmpl w:val="BF28DE0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15222C9"/>
    <w:multiLevelType w:val="hybridMultilevel"/>
    <w:tmpl w:val="F834876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299337D"/>
    <w:multiLevelType w:val="hybridMultilevel"/>
    <w:tmpl w:val="F3A4796A"/>
    <w:lvl w:ilvl="0" w:tplc="2AA20606">
      <w:start w:val="1"/>
      <w:numFmt w:val="bullet"/>
      <w:lvlText w:val="-"/>
      <w:lvlJc w:val="left"/>
      <w:pPr>
        <w:ind w:left="1080" w:hanging="360"/>
      </w:pPr>
      <w:rPr>
        <w:rFonts w:ascii="Courier New" w:eastAsia="Courier New" w:hAnsi="Courier New" w:hint="default"/>
        <w:b w:val="0"/>
        <w:i w:val="0"/>
        <w:strike w:val="0"/>
        <w:dstrike w:val="0"/>
        <w:color w:val="000000"/>
        <w:sz w:val="24"/>
        <w:szCs w:val="24"/>
        <w:u w:val="none" w:color="000000"/>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2C0543"/>
    <w:multiLevelType w:val="hybridMultilevel"/>
    <w:tmpl w:val="FE349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244A4"/>
    <w:multiLevelType w:val="hybridMultilevel"/>
    <w:tmpl w:val="938AB558"/>
    <w:lvl w:ilvl="0" w:tplc="E7CC10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6D41A8"/>
    <w:multiLevelType w:val="hybridMultilevel"/>
    <w:tmpl w:val="6C58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5481C"/>
    <w:multiLevelType w:val="hybridMultilevel"/>
    <w:tmpl w:val="28B046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43671"/>
    <w:multiLevelType w:val="hybridMultilevel"/>
    <w:tmpl w:val="87ECFF44"/>
    <w:lvl w:ilvl="0" w:tplc="EAE85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33E8E"/>
    <w:multiLevelType w:val="hybridMultilevel"/>
    <w:tmpl w:val="9230A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4588E"/>
    <w:multiLevelType w:val="multilevel"/>
    <w:tmpl w:val="13DA1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4E2207"/>
    <w:multiLevelType w:val="hybridMultilevel"/>
    <w:tmpl w:val="7040A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D15EA"/>
    <w:multiLevelType w:val="hybridMultilevel"/>
    <w:tmpl w:val="409AB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D1D95"/>
    <w:multiLevelType w:val="hybridMultilevel"/>
    <w:tmpl w:val="0BC25FD2"/>
    <w:lvl w:ilvl="0" w:tplc="BB02C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F1B65"/>
    <w:multiLevelType w:val="hybridMultilevel"/>
    <w:tmpl w:val="A5F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955F3"/>
    <w:multiLevelType w:val="hybridMultilevel"/>
    <w:tmpl w:val="3B269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68556A"/>
    <w:multiLevelType w:val="hybridMultilevel"/>
    <w:tmpl w:val="F98AB21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DE6603B"/>
    <w:multiLevelType w:val="hybridMultilevel"/>
    <w:tmpl w:val="B2F85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50DAD"/>
    <w:multiLevelType w:val="hybridMultilevel"/>
    <w:tmpl w:val="BE76387C"/>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8B4981"/>
    <w:multiLevelType w:val="hybridMultilevel"/>
    <w:tmpl w:val="3E5CC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7D7D40"/>
    <w:multiLevelType w:val="hybridMultilevel"/>
    <w:tmpl w:val="BC360A7C"/>
    <w:lvl w:ilvl="0" w:tplc="85D0F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1D30EA"/>
    <w:multiLevelType w:val="hybridMultilevel"/>
    <w:tmpl w:val="8214D740"/>
    <w:lvl w:ilvl="0" w:tplc="85D0F6BC">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9" w15:restartNumberingAfterBreak="0">
    <w:nsid w:val="46C9595B"/>
    <w:multiLevelType w:val="hybridMultilevel"/>
    <w:tmpl w:val="3E6C001A"/>
    <w:lvl w:ilvl="0" w:tplc="40CC34A6">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9D95901"/>
    <w:multiLevelType w:val="hybridMultilevel"/>
    <w:tmpl w:val="D0D0424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4ABB29EB"/>
    <w:multiLevelType w:val="hybridMultilevel"/>
    <w:tmpl w:val="2ACE85A0"/>
    <w:lvl w:ilvl="0" w:tplc="0809000F">
      <w:start w:val="1"/>
      <w:numFmt w:val="decimal"/>
      <w:lvlText w:val="%1."/>
      <w:lvlJc w:val="left"/>
      <w:pPr>
        <w:ind w:left="1440" w:hanging="360"/>
      </w:pPr>
    </w:lvl>
    <w:lvl w:ilvl="1" w:tplc="BB588E18">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3407E8A"/>
    <w:multiLevelType w:val="hybridMultilevel"/>
    <w:tmpl w:val="885E0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796A0C"/>
    <w:multiLevelType w:val="hybridMultilevel"/>
    <w:tmpl w:val="8E4203B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531695"/>
    <w:multiLevelType w:val="hybridMultilevel"/>
    <w:tmpl w:val="FBF8F3CA"/>
    <w:lvl w:ilvl="0" w:tplc="0809001B">
      <w:start w:val="1"/>
      <w:numFmt w:val="lowerRoman"/>
      <w:lvlText w:val="%1."/>
      <w:lvlJc w:val="right"/>
      <w:pPr>
        <w:ind w:left="2160" w:hanging="360"/>
      </w:pPr>
      <w:rPr>
        <w:rFonts w:hint="default"/>
        <w:i/>
        <w:u w:val="singl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5D7923F0"/>
    <w:multiLevelType w:val="hybridMultilevel"/>
    <w:tmpl w:val="C17EA8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91347"/>
    <w:multiLevelType w:val="hybridMultilevel"/>
    <w:tmpl w:val="658E7CAC"/>
    <w:lvl w:ilvl="0" w:tplc="85D0F6BC">
      <w:start w:val="1"/>
      <w:numFmt w:val="decimal"/>
      <w:lvlText w:val="%1."/>
      <w:lvlJc w:val="left"/>
      <w:pPr>
        <w:ind w:left="3129" w:hanging="360"/>
      </w:pPr>
      <w:rPr>
        <w:rFonts w:hint="default"/>
      </w:rPr>
    </w:lvl>
    <w:lvl w:ilvl="1" w:tplc="08090019" w:tentative="1">
      <w:start w:val="1"/>
      <w:numFmt w:val="lowerLetter"/>
      <w:lvlText w:val="%2."/>
      <w:lvlJc w:val="left"/>
      <w:pPr>
        <w:ind w:left="3849" w:hanging="360"/>
      </w:pPr>
    </w:lvl>
    <w:lvl w:ilvl="2" w:tplc="0809001B" w:tentative="1">
      <w:start w:val="1"/>
      <w:numFmt w:val="lowerRoman"/>
      <w:lvlText w:val="%3."/>
      <w:lvlJc w:val="right"/>
      <w:pPr>
        <w:ind w:left="4569" w:hanging="180"/>
      </w:pPr>
    </w:lvl>
    <w:lvl w:ilvl="3" w:tplc="0809000F" w:tentative="1">
      <w:start w:val="1"/>
      <w:numFmt w:val="decimal"/>
      <w:lvlText w:val="%4."/>
      <w:lvlJc w:val="left"/>
      <w:pPr>
        <w:ind w:left="5289" w:hanging="360"/>
      </w:pPr>
    </w:lvl>
    <w:lvl w:ilvl="4" w:tplc="08090019" w:tentative="1">
      <w:start w:val="1"/>
      <w:numFmt w:val="lowerLetter"/>
      <w:lvlText w:val="%5."/>
      <w:lvlJc w:val="left"/>
      <w:pPr>
        <w:ind w:left="6009" w:hanging="360"/>
      </w:pPr>
    </w:lvl>
    <w:lvl w:ilvl="5" w:tplc="0809001B" w:tentative="1">
      <w:start w:val="1"/>
      <w:numFmt w:val="lowerRoman"/>
      <w:lvlText w:val="%6."/>
      <w:lvlJc w:val="right"/>
      <w:pPr>
        <w:ind w:left="6729" w:hanging="180"/>
      </w:pPr>
    </w:lvl>
    <w:lvl w:ilvl="6" w:tplc="0809000F" w:tentative="1">
      <w:start w:val="1"/>
      <w:numFmt w:val="decimal"/>
      <w:lvlText w:val="%7."/>
      <w:lvlJc w:val="left"/>
      <w:pPr>
        <w:ind w:left="7449" w:hanging="360"/>
      </w:pPr>
    </w:lvl>
    <w:lvl w:ilvl="7" w:tplc="08090019" w:tentative="1">
      <w:start w:val="1"/>
      <w:numFmt w:val="lowerLetter"/>
      <w:lvlText w:val="%8."/>
      <w:lvlJc w:val="left"/>
      <w:pPr>
        <w:ind w:left="8169" w:hanging="360"/>
      </w:pPr>
    </w:lvl>
    <w:lvl w:ilvl="8" w:tplc="0809001B" w:tentative="1">
      <w:start w:val="1"/>
      <w:numFmt w:val="lowerRoman"/>
      <w:lvlText w:val="%9."/>
      <w:lvlJc w:val="right"/>
      <w:pPr>
        <w:ind w:left="8889" w:hanging="180"/>
      </w:pPr>
    </w:lvl>
  </w:abstractNum>
  <w:abstractNum w:abstractNumId="38" w15:restartNumberingAfterBreak="0">
    <w:nsid w:val="640E476D"/>
    <w:multiLevelType w:val="hybridMultilevel"/>
    <w:tmpl w:val="AB3A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116E6"/>
    <w:multiLevelType w:val="hybridMultilevel"/>
    <w:tmpl w:val="6BF4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2110A"/>
    <w:multiLevelType w:val="hybridMultilevel"/>
    <w:tmpl w:val="CBB6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307AE1"/>
    <w:multiLevelType w:val="hybridMultilevel"/>
    <w:tmpl w:val="8B6069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9071F"/>
    <w:multiLevelType w:val="hybridMultilevel"/>
    <w:tmpl w:val="D1B472C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70DF58F5"/>
    <w:multiLevelType w:val="hybridMultilevel"/>
    <w:tmpl w:val="D39A5A0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4" w15:restartNumberingAfterBreak="0">
    <w:nsid w:val="71CD065C"/>
    <w:multiLevelType w:val="hybridMultilevel"/>
    <w:tmpl w:val="2B2E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F535E2"/>
    <w:multiLevelType w:val="hybridMultilevel"/>
    <w:tmpl w:val="D48A629C"/>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C6D92"/>
    <w:multiLevelType w:val="hybridMultilevel"/>
    <w:tmpl w:val="9ABC9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A2A01"/>
    <w:multiLevelType w:val="hybridMultilevel"/>
    <w:tmpl w:val="75083CBA"/>
    <w:lvl w:ilvl="0" w:tplc="01E40246">
      <w:start w:val="1"/>
      <w:numFmt w:val="decimal"/>
      <w:lvlText w:val="%1."/>
      <w:lvlJc w:val="left"/>
      <w:pPr>
        <w:ind w:left="4818" w:hanging="360"/>
      </w:pPr>
      <w:rPr>
        <w:rFonts w:hint="default"/>
      </w:rPr>
    </w:lvl>
    <w:lvl w:ilvl="1" w:tplc="08090019" w:tentative="1">
      <w:start w:val="1"/>
      <w:numFmt w:val="lowerLetter"/>
      <w:lvlText w:val="%2."/>
      <w:lvlJc w:val="left"/>
      <w:pPr>
        <w:ind w:left="5538" w:hanging="360"/>
      </w:pPr>
    </w:lvl>
    <w:lvl w:ilvl="2" w:tplc="0809001B" w:tentative="1">
      <w:start w:val="1"/>
      <w:numFmt w:val="lowerRoman"/>
      <w:lvlText w:val="%3."/>
      <w:lvlJc w:val="right"/>
      <w:pPr>
        <w:ind w:left="6258" w:hanging="180"/>
      </w:pPr>
    </w:lvl>
    <w:lvl w:ilvl="3" w:tplc="0809000F" w:tentative="1">
      <w:start w:val="1"/>
      <w:numFmt w:val="decimal"/>
      <w:lvlText w:val="%4."/>
      <w:lvlJc w:val="left"/>
      <w:pPr>
        <w:ind w:left="6978" w:hanging="360"/>
      </w:pPr>
    </w:lvl>
    <w:lvl w:ilvl="4" w:tplc="08090019" w:tentative="1">
      <w:start w:val="1"/>
      <w:numFmt w:val="lowerLetter"/>
      <w:lvlText w:val="%5."/>
      <w:lvlJc w:val="left"/>
      <w:pPr>
        <w:ind w:left="7698" w:hanging="360"/>
      </w:pPr>
    </w:lvl>
    <w:lvl w:ilvl="5" w:tplc="0809001B" w:tentative="1">
      <w:start w:val="1"/>
      <w:numFmt w:val="lowerRoman"/>
      <w:lvlText w:val="%6."/>
      <w:lvlJc w:val="right"/>
      <w:pPr>
        <w:ind w:left="8418" w:hanging="180"/>
      </w:pPr>
    </w:lvl>
    <w:lvl w:ilvl="6" w:tplc="0809000F" w:tentative="1">
      <w:start w:val="1"/>
      <w:numFmt w:val="decimal"/>
      <w:lvlText w:val="%7."/>
      <w:lvlJc w:val="left"/>
      <w:pPr>
        <w:ind w:left="9138" w:hanging="360"/>
      </w:pPr>
    </w:lvl>
    <w:lvl w:ilvl="7" w:tplc="08090019" w:tentative="1">
      <w:start w:val="1"/>
      <w:numFmt w:val="lowerLetter"/>
      <w:lvlText w:val="%8."/>
      <w:lvlJc w:val="left"/>
      <w:pPr>
        <w:ind w:left="9858" w:hanging="360"/>
      </w:pPr>
    </w:lvl>
    <w:lvl w:ilvl="8" w:tplc="0809001B" w:tentative="1">
      <w:start w:val="1"/>
      <w:numFmt w:val="lowerRoman"/>
      <w:lvlText w:val="%9."/>
      <w:lvlJc w:val="right"/>
      <w:pPr>
        <w:ind w:left="10578" w:hanging="180"/>
      </w:pPr>
    </w:lvl>
  </w:abstractNum>
  <w:abstractNum w:abstractNumId="48" w15:restartNumberingAfterBreak="0">
    <w:nsid w:val="7B8F6F94"/>
    <w:multiLevelType w:val="hybridMultilevel"/>
    <w:tmpl w:val="58D08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DA604D"/>
    <w:multiLevelType w:val="multilevel"/>
    <w:tmpl w:val="81B81898"/>
    <w:lvl w:ilvl="0">
      <w:start w:val="1"/>
      <w:numFmt w:val="decimal"/>
      <w:pStyle w:val="Level1"/>
      <w:lvlText w:val="%1."/>
      <w:lvlJc w:val="left"/>
      <w:pPr>
        <w:tabs>
          <w:tab w:val="num" w:pos="680"/>
        </w:tabs>
        <w:ind w:left="680" w:hanging="624"/>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677"/>
        </w:tabs>
        <w:ind w:left="677" w:hanging="619"/>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680"/>
        </w:tabs>
        <w:ind w:left="680" w:hanging="624"/>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tyleLevel4Left1cmFirstline0cm"/>
      <w:lvlText w:val="(%4)"/>
      <w:lvlJc w:val="left"/>
      <w:pPr>
        <w:tabs>
          <w:tab w:val="num" w:pos="1191"/>
        </w:tabs>
        <w:ind w:left="1191" w:hanging="567"/>
      </w:pPr>
      <w:rPr>
        <w:rFonts w:ascii="Times New Roman" w:eastAsia="MS Reference Specialty"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5"/>
      <w:lvlText w:val="(%5)"/>
      <w:lvlJc w:val="left"/>
      <w:pPr>
        <w:tabs>
          <w:tab w:val="num" w:pos="2070"/>
        </w:tabs>
        <w:ind w:left="2070" w:hanging="737"/>
      </w:pPr>
      <w:rPr>
        <w:rFonts w:hint="default"/>
        <w:i w:val="0"/>
      </w:rPr>
    </w:lvl>
    <w:lvl w:ilvl="5">
      <w:start w:val="1"/>
      <w:numFmt w:val="lowerRoman"/>
      <w:pStyle w:val="Level6"/>
      <w:lvlText w:val="(%6)"/>
      <w:lvlJc w:val="left"/>
      <w:pPr>
        <w:tabs>
          <w:tab w:val="num" w:pos="2240"/>
        </w:tabs>
        <w:ind w:left="2240" w:hanging="680"/>
      </w:pPr>
      <w:rPr>
        <w:rFonts w:hint="default"/>
        <w:b w:val="0"/>
        <w:bCs w:val="0"/>
        <w:i w:val="0"/>
        <w:iCs/>
        <w:sz w:val="20"/>
        <w:szCs w:val="20"/>
      </w:rPr>
    </w:lvl>
    <w:lvl w:ilvl="6">
      <w:start w:val="1"/>
      <w:numFmt w:val="upperLetter"/>
      <w:pStyle w:val="Level7"/>
      <w:lvlText w:val="(%7)"/>
      <w:lvlJc w:val="left"/>
      <w:pPr>
        <w:tabs>
          <w:tab w:val="num" w:pos="2097"/>
        </w:tabs>
        <w:ind w:left="2097" w:hanging="680"/>
      </w:pPr>
      <w:rPr>
        <w:rFonts w:ascii="Arial" w:hAnsi="Arial" w:cs="Arial" w:hint="default"/>
        <w:b w:val="0"/>
        <w:bCs w:val="0"/>
        <w:i w:val="0"/>
        <w:iCs w:val="0"/>
        <w:sz w:val="20"/>
        <w:szCs w:val="20"/>
      </w:rPr>
    </w:lvl>
    <w:lvl w:ilvl="7">
      <w:start w:val="1"/>
      <w:numFmt w:val="lowerRoman"/>
      <w:lvlText w:val="%8)"/>
      <w:lvlJc w:val="left"/>
      <w:pPr>
        <w:tabs>
          <w:tab w:val="num" w:pos="2457"/>
        </w:tabs>
        <w:ind w:left="2457" w:hanging="360"/>
      </w:pPr>
      <w:rPr>
        <w:rFonts w:hint="default"/>
        <w:b w:val="0"/>
        <w:bCs w:val="0"/>
        <w:i w:val="0"/>
        <w:iCs w:val="0"/>
        <w:sz w:val="20"/>
        <w:szCs w:val="20"/>
      </w:rPr>
    </w:lvl>
    <w:lvl w:ilvl="8">
      <w:start w:val="1"/>
      <w:numFmt w:val="none"/>
      <w:lvlText w:val=""/>
      <w:lvlJc w:val="left"/>
      <w:pPr>
        <w:tabs>
          <w:tab w:val="num" w:pos="4376"/>
        </w:tabs>
        <w:ind w:left="4376" w:hanging="1440"/>
      </w:pPr>
      <w:rPr>
        <w:rFonts w:hint="default"/>
      </w:rPr>
    </w:lvl>
  </w:abstractNum>
  <w:num w:numId="1">
    <w:abstractNumId w:val="12"/>
  </w:num>
  <w:num w:numId="2">
    <w:abstractNumId w:val="48"/>
  </w:num>
  <w:num w:numId="3">
    <w:abstractNumId w:val="36"/>
  </w:num>
  <w:num w:numId="4">
    <w:abstractNumId w:val="34"/>
  </w:num>
  <w:num w:numId="5">
    <w:abstractNumId w:val="31"/>
  </w:num>
  <w:num w:numId="6">
    <w:abstractNumId w:val="23"/>
  </w:num>
  <w:num w:numId="7">
    <w:abstractNumId w:val="41"/>
  </w:num>
  <w:num w:numId="8">
    <w:abstractNumId w:val="3"/>
  </w:num>
  <w:num w:numId="9">
    <w:abstractNumId w:val="19"/>
  </w:num>
  <w:num w:numId="10">
    <w:abstractNumId w:val="9"/>
  </w:num>
  <w:num w:numId="11">
    <w:abstractNumId w:val="2"/>
  </w:num>
  <w:num w:numId="12">
    <w:abstractNumId w:val="21"/>
  </w:num>
  <w:num w:numId="13">
    <w:abstractNumId w:val="0"/>
  </w:num>
  <w:num w:numId="14">
    <w:abstractNumId w:val="43"/>
  </w:num>
  <w:num w:numId="15">
    <w:abstractNumId w:val="6"/>
  </w:num>
  <w:num w:numId="16">
    <w:abstractNumId w:val="32"/>
  </w:num>
  <w:num w:numId="17">
    <w:abstractNumId w:val="35"/>
  </w:num>
  <w:num w:numId="18">
    <w:abstractNumId w:val="4"/>
  </w:num>
  <w:num w:numId="19">
    <w:abstractNumId w:val="26"/>
  </w:num>
  <w:num w:numId="20">
    <w:abstractNumId w:val="16"/>
  </w:num>
  <w:num w:numId="21">
    <w:abstractNumId w:val="20"/>
  </w:num>
  <w:num w:numId="22">
    <w:abstractNumId w:val="44"/>
  </w:num>
  <w:num w:numId="23">
    <w:abstractNumId w:val="13"/>
  </w:num>
  <w:num w:numId="24">
    <w:abstractNumId w:val="29"/>
  </w:num>
  <w:num w:numId="25">
    <w:abstractNumId w:val="17"/>
  </w:num>
  <w:num w:numId="26">
    <w:abstractNumId w:val="45"/>
  </w:num>
  <w:num w:numId="27">
    <w:abstractNumId w:val="25"/>
  </w:num>
  <w:num w:numId="28">
    <w:abstractNumId w:val="49"/>
  </w:num>
  <w:num w:numId="29">
    <w:abstractNumId w:val="30"/>
  </w:num>
  <w:num w:numId="30">
    <w:abstractNumId w:val="15"/>
  </w:num>
  <w:num w:numId="31">
    <w:abstractNumId w:val="46"/>
  </w:num>
  <w:num w:numId="32">
    <w:abstractNumId w:val="14"/>
  </w:num>
  <w:num w:numId="33">
    <w:abstractNumId w:val="50"/>
  </w:num>
  <w:num w:numId="34">
    <w:abstractNumId w:val="38"/>
  </w:num>
  <w:num w:numId="35">
    <w:abstractNumId w:val="39"/>
  </w:num>
  <w:num w:numId="36">
    <w:abstractNumId w:val="22"/>
  </w:num>
  <w:num w:numId="37">
    <w:abstractNumId w:val="40"/>
  </w:num>
  <w:num w:numId="38">
    <w:abstractNumId w:val="24"/>
  </w:num>
  <w:num w:numId="39">
    <w:abstractNumId w:val="18"/>
  </w:num>
  <w:num w:numId="40">
    <w:abstractNumId w:val="1"/>
  </w:num>
  <w:num w:numId="41">
    <w:abstractNumId w:val="10"/>
  </w:num>
  <w:num w:numId="42">
    <w:abstractNumId w:val="11"/>
  </w:num>
  <w:num w:numId="43">
    <w:abstractNumId w:val="42"/>
  </w:num>
  <w:num w:numId="44">
    <w:abstractNumId w:val="8"/>
  </w:num>
  <w:num w:numId="45">
    <w:abstractNumId w:val="33"/>
  </w:num>
  <w:num w:numId="46">
    <w:abstractNumId w:val="47"/>
  </w:num>
  <w:num w:numId="47">
    <w:abstractNumId w:val="7"/>
  </w:num>
  <w:num w:numId="48">
    <w:abstractNumId w:val="37"/>
  </w:num>
  <w:num w:numId="49">
    <w:abstractNumId w:val="27"/>
  </w:num>
  <w:num w:numId="50">
    <w:abstractNumId w:val="5"/>
  </w:num>
  <w:num w:numId="51">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9A"/>
    <w:rsid w:val="000002BB"/>
    <w:rsid w:val="000015EB"/>
    <w:rsid w:val="0000225C"/>
    <w:rsid w:val="000029E3"/>
    <w:rsid w:val="00004E74"/>
    <w:rsid w:val="00007B1D"/>
    <w:rsid w:val="00010E93"/>
    <w:rsid w:val="00012399"/>
    <w:rsid w:val="00016C47"/>
    <w:rsid w:val="00017E9A"/>
    <w:rsid w:val="00020249"/>
    <w:rsid w:val="00022516"/>
    <w:rsid w:val="00023374"/>
    <w:rsid w:val="00023B43"/>
    <w:rsid w:val="0002549D"/>
    <w:rsid w:val="00025D6F"/>
    <w:rsid w:val="000303B0"/>
    <w:rsid w:val="00033537"/>
    <w:rsid w:val="000341AE"/>
    <w:rsid w:val="00034A15"/>
    <w:rsid w:val="0004006B"/>
    <w:rsid w:val="0004392B"/>
    <w:rsid w:val="000440F3"/>
    <w:rsid w:val="00045B89"/>
    <w:rsid w:val="00046A33"/>
    <w:rsid w:val="000477EC"/>
    <w:rsid w:val="0005380B"/>
    <w:rsid w:val="00056FB4"/>
    <w:rsid w:val="0005750E"/>
    <w:rsid w:val="000604DC"/>
    <w:rsid w:val="00060F38"/>
    <w:rsid w:val="00064D13"/>
    <w:rsid w:val="00075E1F"/>
    <w:rsid w:val="000761CC"/>
    <w:rsid w:val="00076525"/>
    <w:rsid w:val="00084B1F"/>
    <w:rsid w:val="000876E3"/>
    <w:rsid w:val="00092252"/>
    <w:rsid w:val="000963F4"/>
    <w:rsid w:val="00096F6C"/>
    <w:rsid w:val="0009733A"/>
    <w:rsid w:val="0009756B"/>
    <w:rsid w:val="000A053A"/>
    <w:rsid w:val="000A2DFF"/>
    <w:rsid w:val="000A3A37"/>
    <w:rsid w:val="000A5210"/>
    <w:rsid w:val="000A6A37"/>
    <w:rsid w:val="000A74FA"/>
    <w:rsid w:val="000B0627"/>
    <w:rsid w:val="000B512A"/>
    <w:rsid w:val="000B578A"/>
    <w:rsid w:val="000B6319"/>
    <w:rsid w:val="000B7781"/>
    <w:rsid w:val="000B7DA0"/>
    <w:rsid w:val="000C1348"/>
    <w:rsid w:val="000C2FA0"/>
    <w:rsid w:val="000C4B78"/>
    <w:rsid w:val="000C4FED"/>
    <w:rsid w:val="000D299F"/>
    <w:rsid w:val="000D4B79"/>
    <w:rsid w:val="000D71E2"/>
    <w:rsid w:val="000E03C9"/>
    <w:rsid w:val="000E051E"/>
    <w:rsid w:val="000E118A"/>
    <w:rsid w:val="000E3AD0"/>
    <w:rsid w:val="000E43DE"/>
    <w:rsid w:val="000E6E9E"/>
    <w:rsid w:val="000E7A69"/>
    <w:rsid w:val="00100511"/>
    <w:rsid w:val="00100AD8"/>
    <w:rsid w:val="00100C4A"/>
    <w:rsid w:val="0010175D"/>
    <w:rsid w:val="00101B8C"/>
    <w:rsid w:val="00103BA2"/>
    <w:rsid w:val="00104329"/>
    <w:rsid w:val="00104CE5"/>
    <w:rsid w:val="001051A2"/>
    <w:rsid w:val="0010604F"/>
    <w:rsid w:val="0010708C"/>
    <w:rsid w:val="001123A7"/>
    <w:rsid w:val="00112E51"/>
    <w:rsid w:val="00113742"/>
    <w:rsid w:val="00114398"/>
    <w:rsid w:val="00115C2C"/>
    <w:rsid w:val="00116FDC"/>
    <w:rsid w:val="00120B34"/>
    <w:rsid w:val="00120CE3"/>
    <w:rsid w:val="00122209"/>
    <w:rsid w:val="001252E2"/>
    <w:rsid w:val="00126892"/>
    <w:rsid w:val="00126BB2"/>
    <w:rsid w:val="00127D1E"/>
    <w:rsid w:val="0013337E"/>
    <w:rsid w:val="00134E33"/>
    <w:rsid w:val="00135137"/>
    <w:rsid w:val="00135201"/>
    <w:rsid w:val="00137135"/>
    <w:rsid w:val="00142E98"/>
    <w:rsid w:val="0014346E"/>
    <w:rsid w:val="001477B2"/>
    <w:rsid w:val="00153167"/>
    <w:rsid w:val="001550BD"/>
    <w:rsid w:val="00160DE5"/>
    <w:rsid w:val="00160E86"/>
    <w:rsid w:val="00161679"/>
    <w:rsid w:val="00167C83"/>
    <w:rsid w:val="001703E8"/>
    <w:rsid w:val="00170CC4"/>
    <w:rsid w:val="00170EF4"/>
    <w:rsid w:val="001710A7"/>
    <w:rsid w:val="00171B59"/>
    <w:rsid w:val="00175871"/>
    <w:rsid w:val="00175E81"/>
    <w:rsid w:val="00176D7C"/>
    <w:rsid w:val="001815AB"/>
    <w:rsid w:val="00181C47"/>
    <w:rsid w:val="001839EB"/>
    <w:rsid w:val="00183FCD"/>
    <w:rsid w:val="00184AD2"/>
    <w:rsid w:val="00185A34"/>
    <w:rsid w:val="00187FF2"/>
    <w:rsid w:val="001900C5"/>
    <w:rsid w:val="001A21EC"/>
    <w:rsid w:val="001A3A6A"/>
    <w:rsid w:val="001A485C"/>
    <w:rsid w:val="001A4B9F"/>
    <w:rsid w:val="001A67EC"/>
    <w:rsid w:val="001B40A5"/>
    <w:rsid w:val="001B6B47"/>
    <w:rsid w:val="001B7A2E"/>
    <w:rsid w:val="001C423B"/>
    <w:rsid w:val="001C44F5"/>
    <w:rsid w:val="001D0410"/>
    <w:rsid w:val="001D3AA2"/>
    <w:rsid w:val="001D4662"/>
    <w:rsid w:val="001D5808"/>
    <w:rsid w:val="001D5ADB"/>
    <w:rsid w:val="001D5BF9"/>
    <w:rsid w:val="001D67CE"/>
    <w:rsid w:val="001D7F6A"/>
    <w:rsid w:val="001E1AED"/>
    <w:rsid w:val="001E345C"/>
    <w:rsid w:val="001E3CA0"/>
    <w:rsid w:val="001E7845"/>
    <w:rsid w:val="001F05F3"/>
    <w:rsid w:val="001F0CFE"/>
    <w:rsid w:val="001F260A"/>
    <w:rsid w:val="001F38D1"/>
    <w:rsid w:val="001F55BD"/>
    <w:rsid w:val="001F64F8"/>
    <w:rsid w:val="001F791C"/>
    <w:rsid w:val="00201ACF"/>
    <w:rsid w:val="00201AE1"/>
    <w:rsid w:val="00201F69"/>
    <w:rsid w:val="00203DD6"/>
    <w:rsid w:val="0020700D"/>
    <w:rsid w:val="0021412E"/>
    <w:rsid w:val="00216527"/>
    <w:rsid w:val="00216E6D"/>
    <w:rsid w:val="00217579"/>
    <w:rsid w:val="00217827"/>
    <w:rsid w:val="002250BA"/>
    <w:rsid w:val="0022642F"/>
    <w:rsid w:val="00227AB1"/>
    <w:rsid w:val="002300C3"/>
    <w:rsid w:val="00231E30"/>
    <w:rsid w:val="00235400"/>
    <w:rsid w:val="002379A4"/>
    <w:rsid w:val="002422C5"/>
    <w:rsid w:val="00243EB9"/>
    <w:rsid w:val="0024580E"/>
    <w:rsid w:val="00246372"/>
    <w:rsid w:val="0024672C"/>
    <w:rsid w:val="00247629"/>
    <w:rsid w:val="00251560"/>
    <w:rsid w:val="00252E10"/>
    <w:rsid w:val="002568F0"/>
    <w:rsid w:val="00257909"/>
    <w:rsid w:val="00262981"/>
    <w:rsid w:val="00264B44"/>
    <w:rsid w:val="002651A8"/>
    <w:rsid w:val="002655E7"/>
    <w:rsid w:val="00266E32"/>
    <w:rsid w:val="00266EEF"/>
    <w:rsid w:val="0026708D"/>
    <w:rsid w:val="002671DF"/>
    <w:rsid w:val="0027014C"/>
    <w:rsid w:val="00270259"/>
    <w:rsid w:val="00270F6E"/>
    <w:rsid w:val="00272EAD"/>
    <w:rsid w:val="00273EC9"/>
    <w:rsid w:val="00277777"/>
    <w:rsid w:val="002779D7"/>
    <w:rsid w:val="00277FED"/>
    <w:rsid w:val="00280838"/>
    <w:rsid w:val="00282F75"/>
    <w:rsid w:val="00283513"/>
    <w:rsid w:val="00284050"/>
    <w:rsid w:val="00286E67"/>
    <w:rsid w:val="00286E8E"/>
    <w:rsid w:val="00290686"/>
    <w:rsid w:val="00291781"/>
    <w:rsid w:val="00293B6D"/>
    <w:rsid w:val="0029474A"/>
    <w:rsid w:val="00295155"/>
    <w:rsid w:val="002A199F"/>
    <w:rsid w:val="002A69B8"/>
    <w:rsid w:val="002B2446"/>
    <w:rsid w:val="002B266F"/>
    <w:rsid w:val="002B52D9"/>
    <w:rsid w:val="002B56C8"/>
    <w:rsid w:val="002B59D2"/>
    <w:rsid w:val="002B60F9"/>
    <w:rsid w:val="002B6ED7"/>
    <w:rsid w:val="002C1561"/>
    <w:rsid w:val="002C16AA"/>
    <w:rsid w:val="002C459E"/>
    <w:rsid w:val="002C5316"/>
    <w:rsid w:val="002D05BF"/>
    <w:rsid w:val="002D2D3F"/>
    <w:rsid w:val="002D392D"/>
    <w:rsid w:val="002D46D8"/>
    <w:rsid w:val="002D4B7B"/>
    <w:rsid w:val="002D5627"/>
    <w:rsid w:val="002D6166"/>
    <w:rsid w:val="002D63F3"/>
    <w:rsid w:val="002D678B"/>
    <w:rsid w:val="002D6AC5"/>
    <w:rsid w:val="002E3139"/>
    <w:rsid w:val="002E328B"/>
    <w:rsid w:val="002E44DE"/>
    <w:rsid w:val="002F1497"/>
    <w:rsid w:val="002F7F31"/>
    <w:rsid w:val="002F7F7F"/>
    <w:rsid w:val="0030373F"/>
    <w:rsid w:val="00305B63"/>
    <w:rsid w:val="00306BE8"/>
    <w:rsid w:val="00313A09"/>
    <w:rsid w:val="00314ED4"/>
    <w:rsid w:val="00317771"/>
    <w:rsid w:val="00327A90"/>
    <w:rsid w:val="00333DF8"/>
    <w:rsid w:val="0033468C"/>
    <w:rsid w:val="00336E2E"/>
    <w:rsid w:val="00341909"/>
    <w:rsid w:val="0034247B"/>
    <w:rsid w:val="0034252A"/>
    <w:rsid w:val="003432CB"/>
    <w:rsid w:val="003433D4"/>
    <w:rsid w:val="00343B84"/>
    <w:rsid w:val="00345398"/>
    <w:rsid w:val="003558AD"/>
    <w:rsid w:val="00355D84"/>
    <w:rsid w:val="003560A3"/>
    <w:rsid w:val="00356D61"/>
    <w:rsid w:val="0036640C"/>
    <w:rsid w:val="00370DCB"/>
    <w:rsid w:val="00374B77"/>
    <w:rsid w:val="00375489"/>
    <w:rsid w:val="00376A18"/>
    <w:rsid w:val="00380F91"/>
    <w:rsid w:val="0038147A"/>
    <w:rsid w:val="003816B4"/>
    <w:rsid w:val="00387094"/>
    <w:rsid w:val="00387E7D"/>
    <w:rsid w:val="00387F8E"/>
    <w:rsid w:val="00390262"/>
    <w:rsid w:val="00390417"/>
    <w:rsid w:val="00391091"/>
    <w:rsid w:val="00393782"/>
    <w:rsid w:val="003970F4"/>
    <w:rsid w:val="00397D77"/>
    <w:rsid w:val="003A2292"/>
    <w:rsid w:val="003A4B59"/>
    <w:rsid w:val="003A4ED1"/>
    <w:rsid w:val="003A5818"/>
    <w:rsid w:val="003A776A"/>
    <w:rsid w:val="003B2250"/>
    <w:rsid w:val="003B38BE"/>
    <w:rsid w:val="003B5166"/>
    <w:rsid w:val="003B7F35"/>
    <w:rsid w:val="003C0105"/>
    <w:rsid w:val="003C3578"/>
    <w:rsid w:val="003C542D"/>
    <w:rsid w:val="003D0E75"/>
    <w:rsid w:val="003D0FAF"/>
    <w:rsid w:val="003D17C4"/>
    <w:rsid w:val="003D38C1"/>
    <w:rsid w:val="003D6EEC"/>
    <w:rsid w:val="003E0FF3"/>
    <w:rsid w:val="003E1D78"/>
    <w:rsid w:val="003E30C9"/>
    <w:rsid w:val="003E3D66"/>
    <w:rsid w:val="003E5860"/>
    <w:rsid w:val="003E7A77"/>
    <w:rsid w:val="003F0528"/>
    <w:rsid w:val="003F19C8"/>
    <w:rsid w:val="003F1FA7"/>
    <w:rsid w:val="003F1FDD"/>
    <w:rsid w:val="003F2916"/>
    <w:rsid w:val="003F5128"/>
    <w:rsid w:val="00402511"/>
    <w:rsid w:val="004036E2"/>
    <w:rsid w:val="00411288"/>
    <w:rsid w:val="00411901"/>
    <w:rsid w:val="00412C60"/>
    <w:rsid w:val="004231D3"/>
    <w:rsid w:val="00426FC4"/>
    <w:rsid w:val="00430053"/>
    <w:rsid w:val="00430E09"/>
    <w:rsid w:val="00431B65"/>
    <w:rsid w:val="004330B1"/>
    <w:rsid w:val="00442D55"/>
    <w:rsid w:val="0044409D"/>
    <w:rsid w:val="004442D9"/>
    <w:rsid w:val="004449E8"/>
    <w:rsid w:val="00445675"/>
    <w:rsid w:val="00446BBA"/>
    <w:rsid w:val="0045060B"/>
    <w:rsid w:val="004538B7"/>
    <w:rsid w:val="004579DF"/>
    <w:rsid w:val="00461BE9"/>
    <w:rsid w:val="004674A5"/>
    <w:rsid w:val="004711C8"/>
    <w:rsid w:val="00471519"/>
    <w:rsid w:val="0047596F"/>
    <w:rsid w:val="004769B7"/>
    <w:rsid w:val="004772ED"/>
    <w:rsid w:val="004803FB"/>
    <w:rsid w:val="00480591"/>
    <w:rsid w:val="00481918"/>
    <w:rsid w:val="004828FE"/>
    <w:rsid w:val="004829F3"/>
    <w:rsid w:val="00483C22"/>
    <w:rsid w:val="00483D40"/>
    <w:rsid w:val="00487E92"/>
    <w:rsid w:val="0049082D"/>
    <w:rsid w:val="00490CA2"/>
    <w:rsid w:val="004916BD"/>
    <w:rsid w:val="00491C83"/>
    <w:rsid w:val="00491E8C"/>
    <w:rsid w:val="00494B0E"/>
    <w:rsid w:val="0049709D"/>
    <w:rsid w:val="00497D18"/>
    <w:rsid w:val="004A0F03"/>
    <w:rsid w:val="004A3A5F"/>
    <w:rsid w:val="004A511D"/>
    <w:rsid w:val="004A5711"/>
    <w:rsid w:val="004A5C99"/>
    <w:rsid w:val="004A7A48"/>
    <w:rsid w:val="004B14A2"/>
    <w:rsid w:val="004B3F9D"/>
    <w:rsid w:val="004B6BE1"/>
    <w:rsid w:val="004B6CF0"/>
    <w:rsid w:val="004B7B2B"/>
    <w:rsid w:val="004B7DB8"/>
    <w:rsid w:val="004C1FDD"/>
    <w:rsid w:val="004C22E1"/>
    <w:rsid w:val="004C5342"/>
    <w:rsid w:val="004D2AC7"/>
    <w:rsid w:val="004D336F"/>
    <w:rsid w:val="004D4269"/>
    <w:rsid w:val="004D4293"/>
    <w:rsid w:val="004D785B"/>
    <w:rsid w:val="004E0CA9"/>
    <w:rsid w:val="004E0FAC"/>
    <w:rsid w:val="004E0FEB"/>
    <w:rsid w:val="004E23D1"/>
    <w:rsid w:val="004E4A41"/>
    <w:rsid w:val="004E50FE"/>
    <w:rsid w:val="004E680F"/>
    <w:rsid w:val="004E78D2"/>
    <w:rsid w:val="004F0493"/>
    <w:rsid w:val="004F17C8"/>
    <w:rsid w:val="004F2AF7"/>
    <w:rsid w:val="004F4C21"/>
    <w:rsid w:val="004F5758"/>
    <w:rsid w:val="004F58C6"/>
    <w:rsid w:val="004F5A1B"/>
    <w:rsid w:val="004F5C57"/>
    <w:rsid w:val="004F65B1"/>
    <w:rsid w:val="00502FA5"/>
    <w:rsid w:val="00503F11"/>
    <w:rsid w:val="0050503E"/>
    <w:rsid w:val="00507CB9"/>
    <w:rsid w:val="00510687"/>
    <w:rsid w:val="00512001"/>
    <w:rsid w:val="005158F6"/>
    <w:rsid w:val="005173F8"/>
    <w:rsid w:val="0051748B"/>
    <w:rsid w:val="0051784F"/>
    <w:rsid w:val="0052099C"/>
    <w:rsid w:val="00523497"/>
    <w:rsid w:val="005262CD"/>
    <w:rsid w:val="0052793C"/>
    <w:rsid w:val="00530D2F"/>
    <w:rsid w:val="005323C3"/>
    <w:rsid w:val="00532850"/>
    <w:rsid w:val="00533461"/>
    <w:rsid w:val="00540B48"/>
    <w:rsid w:val="00543EC2"/>
    <w:rsid w:val="0054482E"/>
    <w:rsid w:val="005462DE"/>
    <w:rsid w:val="00547522"/>
    <w:rsid w:val="00551049"/>
    <w:rsid w:val="00551B10"/>
    <w:rsid w:val="005529F7"/>
    <w:rsid w:val="005537E8"/>
    <w:rsid w:val="005567B8"/>
    <w:rsid w:val="005577B4"/>
    <w:rsid w:val="00557B3F"/>
    <w:rsid w:val="0056023B"/>
    <w:rsid w:val="00561121"/>
    <w:rsid w:val="005621FF"/>
    <w:rsid w:val="00562510"/>
    <w:rsid w:val="00562D54"/>
    <w:rsid w:val="00563AE5"/>
    <w:rsid w:val="00565ACE"/>
    <w:rsid w:val="00570322"/>
    <w:rsid w:val="0057175E"/>
    <w:rsid w:val="0057239C"/>
    <w:rsid w:val="005748D1"/>
    <w:rsid w:val="00574934"/>
    <w:rsid w:val="00574E6D"/>
    <w:rsid w:val="00574E6F"/>
    <w:rsid w:val="00575DFB"/>
    <w:rsid w:val="0057692B"/>
    <w:rsid w:val="005824AC"/>
    <w:rsid w:val="00595FB8"/>
    <w:rsid w:val="005961A6"/>
    <w:rsid w:val="005A2100"/>
    <w:rsid w:val="005A2B78"/>
    <w:rsid w:val="005A3D4F"/>
    <w:rsid w:val="005A5266"/>
    <w:rsid w:val="005A6354"/>
    <w:rsid w:val="005A7A5C"/>
    <w:rsid w:val="005B2AF6"/>
    <w:rsid w:val="005B345E"/>
    <w:rsid w:val="005B4327"/>
    <w:rsid w:val="005B478C"/>
    <w:rsid w:val="005B6E15"/>
    <w:rsid w:val="005C1620"/>
    <w:rsid w:val="005C2DE7"/>
    <w:rsid w:val="005C3B8D"/>
    <w:rsid w:val="005C4541"/>
    <w:rsid w:val="005C6662"/>
    <w:rsid w:val="005C7E47"/>
    <w:rsid w:val="005D3D58"/>
    <w:rsid w:val="005D4AB8"/>
    <w:rsid w:val="005D5B2B"/>
    <w:rsid w:val="005E0ADB"/>
    <w:rsid w:val="005E0BA7"/>
    <w:rsid w:val="005E11B1"/>
    <w:rsid w:val="005E1300"/>
    <w:rsid w:val="005E179A"/>
    <w:rsid w:val="005E2CEE"/>
    <w:rsid w:val="005E2FA8"/>
    <w:rsid w:val="005E4B04"/>
    <w:rsid w:val="005E4D9D"/>
    <w:rsid w:val="005E65F5"/>
    <w:rsid w:val="005F0A62"/>
    <w:rsid w:val="005F6D9E"/>
    <w:rsid w:val="006019FA"/>
    <w:rsid w:val="00601DCE"/>
    <w:rsid w:val="00601F2D"/>
    <w:rsid w:val="00602D8A"/>
    <w:rsid w:val="00605E78"/>
    <w:rsid w:val="00607A00"/>
    <w:rsid w:val="00610B54"/>
    <w:rsid w:val="00611606"/>
    <w:rsid w:val="00612A59"/>
    <w:rsid w:val="00613A4C"/>
    <w:rsid w:val="006140C7"/>
    <w:rsid w:val="00615560"/>
    <w:rsid w:val="0062334A"/>
    <w:rsid w:val="00623564"/>
    <w:rsid w:val="00630037"/>
    <w:rsid w:val="00631D14"/>
    <w:rsid w:val="0063476C"/>
    <w:rsid w:val="0063485D"/>
    <w:rsid w:val="00635556"/>
    <w:rsid w:val="00637F68"/>
    <w:rsid w:val="0064150A"/>
    <w:rsid w:val="00643DD0"/>
    <w:rsid w:val="00644B23"/>
    <w:rsid w:val="00645D2C"/>
    <w:rsid w:val="00647483"/>
    <w:rsid w:val="00647C9A"/>
    <w:rsid w:val="0065130E"/>
    <w:rsid w:val="00651982"/>
    <w:rsid w:val="00653994"/>
    <w:rsid w:val="00653CA7"/>
    <w:rsid w:val="006553D7"/>
    <w:rsid w:val="006567C6"/>
    <w:rsid w:val="00657FEF"/>
    <w:rsid w:val="00661A12"/>
    <w:rsid w:val="00664D86"/>
    <w:rsid w:val="00667924"/>
    <w:rsid w:val="00671873"/>
    <w:rsid w:val="00671DB4"/>
    <w:rsid w:val="00674EBC"/>
    <w:rsid w:val="00675CA6"/>
    <w:rsid w:val="00676F02"/>
    <w:rsid w:val="00677C8A"/>
    <w:rsid w:val="00684011"/>
    <w:rsid w:val="006862C8"/>
    <w:rsid w:val="00687F86"/>
    <w:rsid w:val="00690783"/>
    <w:rsid w:val="00691682"/>
    <w:rsid w:val="00697202"/>
    <w:rsid w:val="006A1CD3"/>
    <w:rsid w:val="006A397E"/>
    <w:rsid w:val="006A6C42"/>
    <w:rsid w:val="006A76D4"/>
    <w:rsid w:val="006B0C6B"/>
    <w:rsid w:val="006B3753"/>
    <w:rsid w:val="006B646E"/>
    <w:rsid w:val="006C1D1C"/>
    <w:rsid w:val="006C4405"/>
    <w:rsid w:val="006D1149"/>
    <w:rsid w:val="006D1564"/>
    <w:rsid w:val="006D1A7F"/>
    <w:rsid w:val="006D324D"/>
    <w:rsid w:val="006D5087"/>
    <w:rsid w:val="006D541E"/>
    <w:rsid w:val="006D67C6"/>
    <w:rsid w:val="006D6D04"/>
    <w:rsid w:val="006D767A"/>
    <w:rsid w:val="006E04E6"/>
    <w:rsid w:val="006E1781"/>
    <w:rsid w:val="006E214E"/>
    <w:rsid w:val="006E724A"/>
    <w:rsid w:val="006F2D3B"/>
    <w:rsid w:val="006F3BF1"/>
    <w:rsid w:val="006F4C48"/>
    <w:rsid w:val="006F6069"/>
    <w:rsid w:val="006F701F"/>
    <w:rsid w:val="006F7458"/>
    <w:rsid w:val="006F765F"/>
    <w:rsid w:val="00702D26"/>
    <w:rsid w:val="00703CCD"/>
    <w:rsid w:val="00704913"/>
    <w:rsid w:val="007059CE"/>
    <w:rsid w:val="007079EC"/>
    <w:rsid w:val="00710CC1"/>
    <w:rsid w:val="007129D4"/>
    <w:rsid w:val="00712AAF"/>
    <w:rsid w:val="00720551"/>
    <w:rsid w:val="0072168C"/>
    <w:rsid w:val="00723B58"/>
    <w:rsid w:val="00725CA9"/>
    <w:rsid w:val="007264EC"/>
    <w:rsid w:val="00741BFA"/>
    <w:rsid w:val="00741EBD"/>
    <w:rsid w:val="00743305"/>
    <w:rsid w:val="007444FA"/>
    <w:rsid w:val="00745524"/>
    <w:rsid w:val="007474D9"/>
    <w:rsid w:val="00747605"/>
    <w:rsid w:val="007524B6"/>
    <w:rsid w:val="00753484"/>
    <w:rsid w:val="00757985"/>
    <w:rsid w:val="00761945"/>
    <w:rsid w:val="00763478"/>
    <w:rsid w:val="007644C2"/>
    <w:rsid w:val="00767601"/>
    <w:rsid w:val="007678AA"/>
    <w:rsid w:val="00770CC9"/>
    <w:rsid w:val="00772F62"/>
    <w:rsid w:val="0077382F"/>
    <w:rsid w:val="0077389A"/>
    <w:rsid w:val="00773DCE"/>
    <w:rsid w:val="00774698"/>
    <w:rsid w:val="007751B4"/>
    <w:rsid w:val="00776065"/>
    <w:rsid w:val="007768EF"/>
    <w:rsid w:val="00777E4B"/>
    <w:rsid w:val="00780561"/>
    <w:rsid w:val="007806D0"/>
    <w:rsid w:val="00782891"/>
    <w:rsid w:val="0078616A"/>
    <w:rsid w:val="0078694D"/>
    <w:rsid w:val="00787ABD"/>
    <w:rsid w:val="007939EF"/>
    <w:rsid w:val="00793D2E"/>
    <w:rsid w:val="00796636"/>
    <w:rsid w:val="007969CC"/>
    <w:rsid w:val="007A1368"/>
    <w:rsid w:val="007A2395"/>
    <w:rsid w:val="007B6965"/>
    <w:rsid w:val="007B6EB3"/>
    <w:rsid w:val="007B722D"/>
    <w:rsid w:val="007B7410"/>
    <w:rsid w:val="007C0059"/>
    <w:rsid w:val="007C0199"/>
    <w:rsid w:val="007C03AF"/>
    <w:rsid w:val="007C198A"/>
    <w:rsid w:val="007D010D"/>
    <w:rsid w:val="007D1D7A"/>
    <w:rsid w:val="007D6F08"/>
    <w:rsid w:val="007E0E1E"/>
    <w:rsid w:val="007E4963"/>
    <w:rsid w:val="007E5819"/>
    <w:rsid w:val="007E5828"/>
    <w:rsid w:val="007E66B0"/>
    <w:rsid w:val="007F08F0"/>
    <w:rsid w:val="007F250A"/>
    <w:rsid w:val="007F519F"/>
    <w:rsid w:val="007F5C69"/>
    <w:rsid w:val="007F7C56"/>
    <w:rsid w:val="00801210"/>
    <w:rsid w:val="008015E9"/>
    <w:rsid w:val="00801C8F"/>
    <w:rsid w:val="008032DB"/>
    <w:rsid w:val="0080396D"/>
    <w:rsid w:val="0080766A"/>
    <w:rsid w:val="00807AC5"/>
    <w:rsid w:val="00810801"/>
    <w:rsid w:val="00811887"/>
    <w:rsid w:val="00813340"/>
    <w:rsid w:val="008140A2"/>
    <w:rsid w:val="00814307"/>
    <w:rsid w:val="008143FC"/>
    <w:rsid w:val="00815074"/>
    <w:rsid w:val="00815433"/>
    <w:rsid w:val="0082169B"/>
    <w:rsid w:val="00822E5D"/>
    <w:rsid w:val="008235F5"/>
    <w:rsid w:val="00823B52"/>
    <w:rsid w:val="00823D7B"/>
    <w:rsid w:val="00825D39"/>
    <w:rsid w:val="00825D47"/>
    <w:rsid w:val="00826BD9"/>
    <w:rsid w:val="0083325B"/>
    <w:rsid w:val="00835915"/>
    <w:rsid w:val="008404F2"/>
    <w:rsid w:val="008421C5"/>
    <w:rsid w:val="00842FC9"/>
    <w:rsid w:val="00842FE2"/>
    <w:rsid w:val="0084559A"/>
    <w:rsid w:val="00845E44"/>
    <w:rsid w:val="00846454"/>
    <w:rsid w:val="00847E7F"/>
    <w:rsid w:val="00851261"/>
    <w:rsid w:val="00852108"/>
    <w:rsid w:val="008534EE"/>
    <w:rsid w:val="008569D1"/>
    <w:rsid w:val="0085750B"/>
    <w:rsid w:val="00857CFF"/>
    <w:rsid w:val="008606D6"/>
    <w:rsid w:val="008621CC"/>
    <w:rsid w:val="008665D6"/>
    <w:rsid w:val="00867A02"/>
    <w:rsid w:val="00872E0C"/>
    <w:rsid w:val="00874A56"/>
    <w:rsid w:val="008815D0"/>
    <w:rsid w:val="0088519E"/>
    <w:rsid w:val="00893B0A"/>
    <w:rsid w:val="00894971"/>
    <w:rsid w:val="008952BB"/>
    <w:rsid w:val="00896999"/>
    <w:rsid w:val="008970E7"/>
    <w:rsid w:val="008A5D06"/>
    <w:rsid w:val="008A5D24"/>
    <w:rsid w:val="008A64CB"/>
    <w:rsid w:val="008A723F"/>
    <w:rsid w:val="008B1928"/>
    <w:rsid w:val="008B2C8A"/>
    <w:rsid w:val="008B2CBB"/>
    <w:rsid w:val="008B382C"/>
    <w:rsid w:val="008B4EAE"/>
    <w:rsid w:val="008C05A4"/>
    <w:rsid w:val="008C1F5B"/>
    <w:rsid w:val="008C217E"/>
    <w:rsid w:val="008C3E03"/>
    <w:rsid w:val="008C51EA"/>
    <w:rsid w:val="008C63D5"/>
    <w:rsid w:val="008D1156"/>
    <w:rsid w:val="008D177B"/>
    <w:rsid w:val="008D25A6"/>
    <w:rsid w:val="008D2B8D"/>
    <w:rsid w:val="008D3931"/>
    <w:rsid w:val="008D68B8"/>
    <w:rsid w:val="008E2950"/>
    <w:rsid w:val="008E5EF8"/>
    <w:rsid w:val="008E6A16"/>
    <w:rsid w:val="008E6B6D"/>
    <w:rsid w:val="008F08B2"/>
    <w:rsid w:val="008F1AC0"/>
    <w:rsid w:val="008F6C25"/>
    <w:rsid w:val="008F6E3F"/>
    <w:rsid w:val="009023BE"/>
    <w:rsid w:val="00903BA8"/>
    <w:rsid w:val="00904800"/>
    <w:rsid w:val="00904F05"/>
    <w:rsid w:val="0090604F"/>
    <w:rsid w:val="0090631E"/>
    <w:rsid w:val="00910428"/>
    <w:rsid w:val="00911AB0"/>
    <w:rsid w:val="00912D5A"/>
    <w:rsid w:val="00914264"/>
    <w:rsid w:val="009149D5"/>
    <w:rsid w:val="009237C8"/>
    <w:rsid w:val="00931656"/>
    <w:rsid w:val="00933517"/>
    <w:rsid w:val="009337E9"/>
    <w:rsid w:val="00936EF5"/>
    <w:rsid w:val="0094246D"/>
    <w:rsid w:val="0094520E"/>
    <w:rsid w:val="009463DF"/>
    <w:rsid w:val="00950315"/>
    <w:rsid w:val="0095217E"/>
    <w:rsid w:val="00952DD7"/>
    <w:rsid w:val="0095305C"/>
    <w:rsid w:val="009542C8"/>
    <w:rsid w:val="009547DE"/>
    <w:rsid w:val="00955353"/>
    <w:rsid w:val="00955554"/>
    <w:rsid w:val="00957946"/>
    <w:rsid w:val="00961F0B"/>
    <w:rsid w:val="0096277D"/>
    <w:rsid w:val="00962A3F"/>
    <w:rsid w:val="00963C29"/>
    <w:rsid w:val="009644EC"/>
    <w:rsid w:val="00964B10"/>
    <w:rsid w:val="00964E67"/>
    <w:rsid w:val="009650E0"/>
    <w:rsid w:val="009652FF"/>
    <w:rsid w:val="0096668D"/>
    <w:rsid w:val="00966B31"/>
    <w:rsid w:val="00967A8C"/>
    <w:rsid w:val="0097073B"/>
    <w:rsid w:val="0097104F"/>
    <w:rsid w:val="00973199"/>
    <w:rsid w:val="00973211"/>
    <w:rsid w:val="009745F8"/>
    <w:rsid w:val="009755E3"/>
    <w:rsid w:val="009760EE"/>
    <w:rsid w:val="00976E5F"/>
    <w:rsid w:val="0098154B"/>
    <w:rsid w:val="009856D3"/>
    <w:rsid w:val="00985B2B"/>
    <w:rsid w:val="00985B37"/>
    <w:rsid w:val="00986138"/>
    <w:rsid w:val="00986D85"/>
    <w:rsid w:val="00987802"/>
    <w:rsid w:val="009879A3"/>
    <w:rsid w:val="00990D15"/>
    <w:rsid w:val="00991C84"/>
    <w:rsid w:val="00992DCA"/>
    <w:rsid w:val="00995FAB"/>
    <w:rsid w:val="009979DB"/>
    <w:rsid w:val="009A4860"/>
    <w:rsid w:val="009A7DCD"/>
    <w:rsid w:val="009B0C93"/>
    <w:rsid w:val="009B1217"/>
    <w:rsid w:val="009B321B"/>
    <w:rsid w:val="009B4A65"/>
    <w:rsid w:val="009B4B8D"/>
    <w:rsid w:val="009B626A"/>
    <w:rsid w:val="009B68D9"/>
    <w:rsid w:val="009C13BF"/>
    <w:rsid w:val="009C5AB6"/>
    <w:rsid w:val="009C73F6"/>
    <w:rsid w:val="009D0FB8"/>
    <w:rsid w:val="009D1CDF"/>
    <w:rsid w:val="009D2775"/>
    <w:rsid w:val="009D28BC"/>
    <w:rsid w:val="009D325C"/>
    <w:rsid w:val="009D7B8F"/>
    <w:rsid w:val="009E0028"/>
    <w:rsid w:val="009E0ACF"/>
    <w:rsid w:val="009E1482"/>
    <w:rsid w:val="009E578E"/>
    <w:rsid w:val="009F08A3"/>
    <w:rsid w:val="009F143E"/>
    <w:rsid w:val="009F3119"/>
    <w:rsid w:val="009F38D6"/>
    <w:rsid w:val="009F773A"/>
    <w:rsid w:val="00A00EF9"/>
    <w:rsid w:val="00A017B0"/>
    <w:rsid w:val="00A0429E"/>
    <w:rsid w:val="00A05325"/>
    <w:rsid w:val="00A06425"/>
    <w:rsid w:val="00A108C7"/>
    <w:rsid w:val="00A11388"/>
    <w:rsid w:val="00A11942"/>
    <w:rsid w:val="00A17197"/>
    <w:rsid w:val="00A17CE3"/>
    <w:rsid w:val="00A241C2"/>
    <w:rsid w:val="00A27002"/>
    <w:rsid w:val="00A275EA"/>
    <w:rsid w:val="00A31451"/>
    <w:rsid w:val="00A31838"/>
    <w:rsid w:val="00A33134"/>
    <w:rsid w:val="00A331D8"/>
    <w:rsid w:val="00A34B8A"/>
    <w:rsid w:val="00A37AFD"/>
    <w:rsid w:val="00A4336B"/>
    <w:rsid w:val="00A4398D"/>
    <w:rsid w:val="00A4515C"/>
    <w:rsid w:val="00A47805"/>
    <w:rsid w:val="00A520ED"/>
    <w:rsid w:val="00A539A0"/>
    <w:rsid w:val="00A603FB"/>
    <w:rsid w:val="00A61539"/>
    <w:rsid w:val="00A6321F"/>
    <w:rsid w:val="00A63484"/>
    <w:rsid w:val="00A66548"/>
    <w:rsid w:val="00A72142"/>
    <w:rsid w:val="00A739C1"/>
    <w:rsid w:val="00A77CD0"/>
    <w:rsid w:val="00A804B3"/>
    <w:rsid w:val="00A84400"/>
    <w:rsid w:val="00A84DED"/>
    <w:rsid w:val="00A85754"/>
    <w:rsid w:val="00A8645E"/>
    <w:rsid w:val="00A901A3"/>
    <w:rsid w:val="00A93A79"/>
    <w:rsid w:val="00A96D2A"/>
    <w:rsid w:val="00A9730F"/>
    <w:rsid w:val="00AA0835"/>
    <w:rsid w:val="00AA1D27"/>
    <w:rsid w:val="00AA2D59"/>
    <w:rsid w:val="00AA3A5B"/>
    <w:rsid w:val="00AA78C7"/>
    <w:rsid w:val="00AB1E9A"/>
    <w:rsid w:val="00AB4CBF"/>
    <w:rsid w:val="00AB7295"/>
    <w:rsid w:val="00AC29DD"/>
    <w:rsid w:val="00AC2A56"/>
    <w:rsid w:val="00AC2C7C"/>
    <w:rsid w:val="00AC41DA"/>
    <w:rsid w:val="00AC5EF5"/>
    <w:rsid w:val="00AC6865"/>
    <w:rsid w:val="00AC6DBA"/>
    <w:rsid w:val="00AD2BA5"/>
    <w:rsid w:val="00AD7CD8"/>
    <w:rsid w:val="00AE28B6"/>
    <w:rsid w:val="00AE3338"/>
    <w:rsid w:val="00AE41EA"/>
    <w:rsid w:val="00AF0204"/>
    <w:rsid w:val="00AF0A9F"/>
    <w:rsid w:val="00AF0B03"/>
    <w:rsid w:val="00AF0BDA"/>
    <w:rsid w:val="00AF145F"/>
    <w:rsid w:val="00AF1763"/>
    <w:rsid w:val="00AF1F4B"/>
    <w:rsid w:val="00AF358F"/>
    <w:rsid w:val="00B00217"/>
    <w:rsid w:val="00B0371D"/>
    <w:rsid w:val="00B063C3"/>
    <w:rsid w:val="00B0664E"/>
    <w:rsid w:val="00B06CE0"/>
    <w:rsid w:val="00B14F4C"/>
    <w:rsid w:val="00B156C2"/>
    <w:rsid w:val="00B2658A"/>
    <w:rsid w:val="00B34532"/>
    <w:rsid w:val="00B37959"/>
    <w:rsid w:val="00B51373"/>
    <w:rsid w:val="00B5201B"/>
    <w:rsid w:val="00B551C2"/>
    <w:rsid w:val="00B55467"/>
    <w:rsid w:val="00B635E7"/>
    <w:rsid w:val="00B63C28"/>
    <w:rsid w:val="00B64BD4"/>
    <w:rsid w:val="00B64BE4"/>
    <w:rsid w:val="00B651B7"/>
    <w:rsid w:val="00B6685D"/>
    <w:rsid w:val="00B677BA"/>
    <w:rsid w:val="00B70697"/>
    <w:rsid w:val="00B72930"/>
    <w:rsid w:val="00B744F3"/>
    <w:rsid w:val="00B75DA7"/>
    <w:rsid w:val="00B76EEF"/>
    <w:rsid w:val="00B80354"/>
    <w:rsid w:val="00B824ED"/>
    <w:rsid w:val="00B8336E"/>
    <w:rsid w:val="00B8565A"/>
    <w:rsid w:val="00B868A2"/>
    <w:rsid w:val="00B902FA"/>
    <w:rsid w:val="00B9344D"/>
    <w:rsid w:val="00BA046E"/>
    <w:rsid w:val="00BA0A6C"/>
    <w:rsid w:val="00BA4360"/>
    <w:rsid w:val="00BA5D8A"/>
    <w:rsid w:val="00BB08A3"/>
    <w:rsid w:val="00BB2F08"/>
    <w:rsid w:val="00BB484F"/>
    <w:rsid w:val="00BB4A23"/>
    <w:rsid w:val="00BB650C"/>
    <w:rsid w:val="00BC61AC"/>
    <w:rsid w:val="00BC6D82"/>
    <w:rsid w:val="00BC7424"/>
    <w:rsid w:val="00BC7974"/>
    <w:rsid w:val="00BD15E7"/>
    <w:rsid w:val="00BD31BA"/>
    <w:rsid w:val="00BD4455"/>
    <w:rsid w:val="00BD4C44"/>
    <w:rsid w:val="00BD4CE9"/>
    <w:rsid w:val="00BD511A"/>
    <w:rsid w:val="00BD63EA"/>
    <w:rsid w:val="00BD70C7"/>
    <w:rsid w:val="00BD792E"/>
    <w:rsid w:val="00BE0D9F"/>
    <w:rsid w:val="00BE3528"/>
    <w:rsid w:val="00BE6834"/>
    <w:rsid w:val="00BF1068"/>
    <w:rsid w:val="00BF41CA"/>
    <w:rsid w:val="00BF7596"/>
    <w:rsid w:val="00C002A1"/>
    <w:rsid w:val="00C01323"/>
    <w:rsid w:val="00C02D49"/>
    <w:rsid w:val="00C04FA0"/>
    <w:rsid w:val="00C102A4"/>
    <w:rsid w:val="00C10BE4"/>
    <w:rsid w:val="00C13FF0"/>
    <w:rsid w:val="00C14430"/>
    <w:rsid w:val="00C242B8"/>
    <w:rsid w:val="00C247FA"/>
    <w:rsid w:val="00C3054F"/>
    <w:rsid w:val="00C32080"/>
    <w:rsid w:val="00C34A41"/>
    <w:rsid w:val="00C35164"/>
    <w:rsid w:val="00C35857"/>
    <w:rsid w:val="00C36002"/>
    <w:rsid w:val="00C372B4"/>
    <w:rsid w:val="00C45173"/>
    <w:rsid w:val="00C466E3"/>
    <w:rsid w:val="00C54932"/>
    <w:rsid w:val="00C57ACD"/>
    <w:rsid w:val="00C60018"/>
    <w:rsid w:val="00C6038F"/>
    <w:rsid w:val="00C63427"/>
    <w:rsid w:val="00C64BB2"/>
    <w:rsid w:val="00C654AE"/>
    <w:rsid w:val="00C65BAE"/>
    <w:rsid w:val="00C66309"/>
    <w:rsid w:val="00C66F2A"/>
    <w:rsid w:val="00C72F6E"/>
    <w:rsid w:val="00C7454B"/>
    <w:rsid w:val="00C74B0C"/>
    <w:rsid w:val="00C817BD"/>
    <w:rsid w:val="00C82C90"/>
    <w:rsid w:val="00C8344A"/>
    <w:rsid w:val="00C851BF"/>
    <w:rsid w:val="00C8627A"/>
    <w:rsid w:val="00C8745E"/>
    <w:rsid w:val="00C8763E"/>
    <w:rsid w:val="00C87864"/>
    <w:rsid w:val="00C90FFA"/>
    <w:rsid w:val="00C92DC6"/>
    <w:rsid w:val="00C94559"/>
    <w:rsid w:val="00C94A57"/>
    <w:rsid w:val="00C96BF3"/>
    <w:rsid w:val="00CA3A09"/>
    <w:rsid w:val="00CA6210"/>
    <w:rsid w:val="00CA657B"/>
    <w:rsid w:val="00CA6652"/>
    <w:rsid w:val="00CB08FC"/>
    <w:rsid w:val="00CB0D8C"/>
    <w:rsid w:val="00CB141F"/>
    <w:rsid w:val="00CB1E91"/>
    <w:rsid w:val="00CB28F2"/>
    <w:rsid w:val="00CB5A83"/>
    <w:rsid w:val="00CB66DD"/>
    <w:rsid w:val="00CC000A"/>
    <w:rsid w:val="00CC1D98"/>
    <w:rsid w:val="00CC3FA8"/>
    <w:rsid w:val="00CC4D99"/>
    <w:rsid w:val="00CC5574"/>
    <w:rsid w:val="00CC573F"/>
    <w:rsid w:val="00CD1002"/>
    <w:rsid w:val="00CD1CD0"/>
    <w:rsid w:val="00CD20F9"/>
    <w:rsid w:val="00CD373B"/>
    <w:rsid w:val="00CD6144"/>
    <w:rsid w:val="00CD6363"/>
    <w:rsid w:val="00CD6C65"/>
    <w:rsid w:val="00CD7044"/>
    <w:rsid w:val="00CE0751"/>
    <w:rsid w:val="00CE1A8F"/>
    <w:rsid w:val="00CE5631"/>
    <w:rsid w:val="00CF0ED6"/>
    <w:rsid w:val="00CF12D9"/>
    <w:rsid w:val="00CF2790"/>
    <w:rsid w:val="00CF2813"/>
    <w:rsid w:val="00CF2E95"/>
    <w:rsid w:val="00CF5167"/>
    <w:rsid w:val="00CF71A3"/>
    <w:rsid w:val="00CF766C"/>
    <w:rsid w:val="00CF7FA0"/>
    <w:rsid w:val="00D10272"/>
    <w:rsid w:val="00D10406"/>
    <w:rsid w:val="00D113FB"/>
    <w:rsid w:val="00D145AD"/>
    <w:rsid w:val="00D158BD"/>
    <w:rsid w:val="00D17ED1"/>
    <w:rsid w:val="00D20123"/>
    <w:rsid w:val="00D23844"/>
    <w:rsid w:val="00D252DB"/>
    <w:rsid w:val="00D321D8"/>
    <w:rsid w:val="00D33318"/>
    <w:rsid w:val="00D362E4"/>
    <w:rsid w:val="00D36FD2"/>
    <w:rsid w:val="00D41378"/>
    <w:rsid w:val="00D508AA"/>
    <w:rsid w:val="00D50D60"/>
    <w:rsid w:val="00D53DAE"/>
    <w:rsid w:val="00D60D97"/>
    <w:rsid w:val="00D61E83"/>
    <w:rsid w:val="00D6250E"/>
    <w:rsid w:val="00D66012"/>
    <w:rsid w:val="00D67AE2"/>
    <w:rsid w:val="00D7335F"/>
    <w:rsid w:val="00D77929"/>
    <w:rsid w:val="00D80C12"/>
    <w:rsid w:val="00D85DC8"/>
    <w:rsid w:val="00D903A1"/>
    <w:rsid w:val="00D90932"/>
    <w:rsid w:val="00D91E7A"/>
    <w:rsid w:val="00D9245C"/>
    <w:rsid w:val="00D924EE"/>
    <w:rsid w:val="00D95B6A"/>
    <w:rsid w:val="00D970DA"/>
    <w:rsid w:val="00DA42BA"/>
    <w:rsid w:val="00DA5342"/>
    <w:rsid w:val="00DA5D2B"/>
    <w:rsid w:val="00DA64E4"/>
    <w:rsid w:val="00DB0E4E"/>
    <w:rsid w:val="00DB14C2"/>
    <w:rsid w:val="00DB47EB"/>
    <w:rsid w:val="00DB5637"/>
    <w:rsid w:val="00DB7020"/>
    <w:rsid w:val="00DB7D36"/>
    <w:rsid w:val="00DC1003"/>
    <w:rsid w:val="00DC15C9"/>
    <w:rsid w:val="00DC4BBC"/>
    <w:rsid w:val="00DC67A8"/>
    <w:rsid w:val="00DC7624"/>
    <w:rsid w:val="00DD2428"/>
    <w:rsid w:val="00DD2887"/>
    <w:rsid w:val="00DD54E8"/>
    <w:rsid w:val="00DD5C35"/>
    <w:rsid w:val="00DD5E39"/>
    <w:rsid w:val="00DD734E"/>
    <w:rsid w:val="00DD7875"/>
    <w:rsid w:val="00DD7ABB"/>
    <w:rsid w:val="00DE1AB2"/>
    <w:rsid w:val="00DE22A9"/>
    <w:rsid w:val="00DE2A6A"/>
    <w:rsid w:val="00DE3385"/>
    <w:rsid w:val="00DE3763"/>
    <w:rsid w:val="00DE42C3"/>
    <w:rsid w:val="00DE4755"/>
    <w:rsid w:val="00DE587A"/>
    <w:rsid w:val="00DE6372"/>
    <w:rsid w:val="00DE6993"/>
    <w:rsid w:val="00DF0EFF"/>
    <w:rsid w:val="00DF17DD"/>
    <w:rsid w:val="00DF31FB"/>
    <w:rsid w:val="00DF6406"/>
    <w:rsid w:val="00DF778A"/>
    <w:rsid w:val="00E0168E"/>
    <w:rsid w:val="00E02706"/>
    <w:rsid w:val="00E039BD"/>
    <w:rsid w:val="00E079CE"/>
    <w:rsid w:val="00E1347A"/>
    <w:rsid w:val="00E13CD3"/>
    <w:rsid w:val="00E1580F"/>
    <w:rsid w:val="00E22D88"/>
    <w:rsid w:val="00E30892"/>
    <w:rsid w:val="00E33E9A"/>
    <w:rsid w:val="00E350FA"/>
    <w:rsid w:val="00E3774A"/>
    <w:rsid w:val="00E37F39"/>
    <w:rsid w:val="00E37FF5"/>
    <w:rsid w:val="00E41565"/>
    <w:rsid w:val="00E45307"/>
    <w:rsid w:val="00E46DBC"/>
    <w:rsid w:val="00E5379A"/>
    <w:rsid w:val="00E53ED3"/>
    <w:rsid w:val="00E557B0"/>
    <w:rsid w:val="00E67751"/>
    <w:rsid w:val="00E678A8"/>
    <w:rsid w:val="00E700A5"/>
    <w:rsid w:val="00E70ACC"/>
    <w:rsid w:val="00E722BC"/>
    <w:rsid w:val="00E74A64"/>
    <w:rsid w:val="00E76E62"/>
    <w:rsid w:val="00E8474C"/>
    <w:rsid w:val="00E86021"/>
    <w:rsid w:val="00E87B58"/>
    <w:rsid w:val="00E91B4F"/>
    <w:rsid w:val="00E94055"/>
    <w:rsid w:val="00E9434C"/>
    <w:rsid w:val="00E95B98"/>
    <w:rsid w:val="00E9725E"/>
    <w:rsid w:val="00EA0742"/>
    <w:rsid w:val="00EA15FB"/>
    <w:rsid w:val="00EA1F01"/>
    <w:rsid w:val="00EA480F"/>
    <w:rsid w:val="00EA5C48"/>
    <w:rsid w:val="00EB0C23"/>
    <w:rsid w:val="00EB0FA6"/>
    <w:rsid w:val="00EB15FF"/>
    <w:rsid w:val="00EB2612"/>
    <w:rsid w:val="00EB3E7B"/>
    <w:rsid w:val="00EB415B"/>
    <w:rsid w:val="00EB437A"/>
    <w:rsid w:val="00EB6798"/>
    <w:rsid w:val="00EB6999"/>
    <w:rsid w:val="00EC4711"/>
    <w:rsid w:val="00EC5F6A"/>
    <w:rsid w:val="00ED0330"/>
    <w:rsid w:val="00ED339B"/>
    <w:rsid w:val="00ED382D"/>
    <w:rsid w:val="00ED3E58"/>
    <w:rsid w:val="00ED5A7E"/>
    <w:rsid w:val="00EE1EB7"/>
    <w:rsid w:val="00EE5E99"/>
    <w:rsid w:val="00EE7555"/>
    <w:rsid w:val="00EF191A"/>
    <w:rsid w:val="00EF2438"/>
    <w:rsid w:val="00EF34BE"/>
    <w:rsid w:val="00EF4087"/>
    <w:rsid w:val="00EF55D1"/>
    <w:rsid w:val="00EF6F05"/>
    <w:rsid w:val="00F01217"/>
    <w:rsid w:val="00F01358"/>
    <w:rsid w:val="00F072F4"/>
    <w:rsid w:val="00F0773F"/>
    <w:rsid w:val="00F111D8"/>
    <w:rsid w:val="00F127C0"/>
    <w:rsid w:val="00F12A8C"/>
    <w:rsid w:val="00F13BE4"/>
    <w:rsid w:val="00F20E2A"/>
    <w:rsid w:val="00F21405"/>
    <w:rsid w:val="00F21C24"/>
    <w:rsid w:val="00F229E5"/>
    <w:rsid w:val="00F25567"/>
    <w:rsid w:val="00F25590"/>
    <w:rsid w:val="00F26301"/>
    <w:rsid w:val="00F26F75"/>
    <w:rsid w:val="00F33782"/>
    <w:rsid w:val="00F3558D"/>
    <w:rsid w:val="00F358AD"/>
    <w:rsid w:val="00F37357"/>
    <w:rsid w:val="00F40E43"/>
    <w:rsid w:val="00F42285"/>
    <w:rsid w:val="00F43EA7"/>
    <w:rsid w:val="00F44B60"/>
    <w:rsid w:val="00F44B86"/>
    <w:rsid w:val="00F459EE"/>
    <w:rsid w:val="00F45F31"/>
    <w:rsid w:val="00F519EF"/>
    <w:rsid w:val="00F53113"/>
    <w:rsid w:val="00F546D1"/>
    <w:rsid w:val="00F5545C"/>
    <w:rsid w:val="00F612BA"/>
    <w:rsid w:val="00F64973"/>
    <w:rsid w:val="00F660EE"/>
    <w:rsid w:val="00F66EB6"/>
    <w:rsid w:val="00F7446F"/>
    <w:rsid w:val="00F8086D"/>
    <w:rsid w:val="00F80FBE"/>
    <w:rsid w:val="00F85455"/>
    <w:rsid w:val="00F86A15"/>
    <w:rsid w:val="00F86B25"/>
    <w:rsid w:val="00F86D04"/>
    <w:rsid w:val="00F87611"/>
    <w:rsid w:val="00F9018E"/>
    <w:rsid w:val="00F92230"/>
    <w:rsid w:val="00F93B8A"/>
    <w:rsid w:val="00F97D45"/>
    <w:rsid w:val="00FA11D4"/>
    <w:rsid w:val="00FA30B4"/>
    <w:rsid w:val="00FA7302"/>
    <w:rsid w:val="00FB0AA9"/>
    <w:rsid w:val="00FB17B5"/>
    <w:rsid w:val="00FB1E8B"/>
    <w:rsid w:val="00FB5117"/>
    <w:rsid w:val="00FB5CB3"/>
    <w:rsid w:val="00FB7140"/>
    <w:rsid w:val="00FC032A"/>
    <w:rsid w:val="00FC1B9F"/>
    <w:rsid w:val="00FC2108"/>
    <w:rsid w:val="00FC30AA"/>
    <w:rsid w:val="00FC494E"/>
    <w:rsid w:val="00FC57CD"/>
    <w:rsid w:val="00FC798E"/>
    <w:rsid w:val="00FD2577"/>
    <w:rsid w:val="00FD2B53"/>
    <w:rsid w:val="00FD38A4"/>
    <w:rsid w:val="00FD620B"/>
    <w:rsid w:val="00FD6EDF"/>
    <w:rsid w:val="00FE1348"/>
    <w:rsid w:val="00FE1489"/>
    <w:rsid w:val="00FE2E00"/>
    <w:rsid w:val="00FE76CC"/>
    <w:rsid w:val="00FF06BA"/>
    <w:rsid w:val="00FF0C88"/>
    <w:rsid w:val="00FF1240"/>
    <w:rsid w:val="00FF248C"/>
    <w:rsid w:val="00FF53F9"/>
    <w:rsid w:val="0A4590D6"/>
    <w:rsid w:val="0C92979C"/>
    <w:rsid w:val="17921E1C"/>
    <w:rsid w:val="35595B0F"/>
    <w:rsid w:val="39F0F6F9"/>
    <w:rsid w:val="42224866"/>
    <w:rsid w:val="46F39947"/>
    <w:rsid w:val="4B4D50D6"/>
    <w:rsid w:val="4E06B98B"/>
    <w:rsid w:val="50523CAD"/>
    <w:rsid w:val="56A072E8"/>
    <w:rsid w:val="5AD11E59"/>
    <w:rsid w:val="5B511A86"/>
    <w:rsid w:val="5BE2DFEF"/>
    <w:rsid w:val="5E19EC89"/>
    <w:rsid w:val="62AEDBD4"/>
    <w:rsid w:val="6624DF27"/>
    <w:rsid w:val="66A7F81D"/>
    <w:rsid w:val="68AF6CFB"/>
    <w:rsid w:val="6FC7F5B8"/>
    <w:rsid w:val="7E6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85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8BD"/>
    <w:pPr>
      <w:keepNext/>
      <w:keepLines/>
      <w:spacing w:before="240"/>
      <w:outlineLvl w:val="0"/>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unhideWhenUsed/>
    <w:qFormat/>
    <w:rsid w:val="00E0168E"/>
    <w:pPr>
      <w:keepNext/>
      <w:keepLines/>
      <w:spacing w:before="40"/>
      <w:outlineLvl w:val="2"/>
    </w:pPr>
    <w:rPr>
      <w:rFonts w:asciiTheme="majorHAnsi" w:eastAsiaTheme="majorEastAsia" w:hAnsiTheme="majorHAnsi" w:cstheme="majorBidi"/>
      <w:color w:val="6823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9A"/>
    <w:pPr>
      <w:ind w:left="720"/>
      <w:contextualSpacing/>
    </w:pPr>
  </w:style>
  <w:style w:type="table" w:styleId="TableGrid">
    <w:name w:val="Table Grid"/>
    <w:basedOn w:val="TableNormal"/>
    <w:uiPriority w:val="39"/>
    <w:rsid w:val="00E4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BE"/>
    <w:rPr>
      <w:rFonts w:ascii="Segoe UI" w:hAnsi="Segoe UI" w:cs="Segoe UI"/>
      <w:sz w:val="18"/>
      <w:szCs w:val="18"/>
    </w:rPr>
  </w:style>
  <w:style w:type="character" w:customStyle="1" w:styleId="Heading1Char">
    <w:name w:val="Heading 1 Char"/>
    <w:basedOn w:val="DefaultParagraphFont"/>
    <w:link w:val="Heading1"/>
    <w:uiPriority w:val="9"/>
    <w:rsid w:val="00D158BD"/>
    <w:rPr>
      <w:rFonts w:asciiTheme="majorHAnsi" w:eastAsiaTheme="majorEastAsia" w:hAnsiTheme="majorHAnsi" w:cstheme="majorBidi"/>
      <w:color w:val="9D3511" w:themeColor="accent1" w:themeShade="BF"/>
      <w:sz w:val="32"/>
      <w:szCs w:val="32"/>
    </w:rPr>
  </w:style>
  <w:style w:type="paragraph" w:styleId="FootnoteText">
    <w:name w:val="footnote text"/>
    <w:basedOn w:val="Normal"/>
    <w:link w:val="FootnoteTextChar"/>
    <w:uiPriority w:val="99"/>
    <w:semiHidden/>
    <w:unhideWhenUsed/>
    <w:rsid w:val="00D158BD"/>
    <w:rPr>
      <w:sz w:val="20"/>
      <w:szCs w:val="20"/>
    </w:rPr>
  </w:style>
  <w:style w:type="character" w:customStyle="1" w:styleId="FootnoteTextChar">
    <w:name w:val="Footnote Text Char"/>
    <w:basedOn w:val="DefaultParagraphFont"/>
    <w:link w:val="FootnoteText"/>
    <w:uiPriority w:val="99"/>
    <w:semiHidden/>
    <w:rsid w:val="00D158BD"/>
    <w:rPr>
      <w:sz w:val="20"/>
      <w:szCs w:val="20"/>
    </w:rPr>
  </w:style>
  <w:style w:type="character" w:styleId="FootnoteReference">
    <w:name w:val="footnote reference"/>
    <w:basedOn w:val="DefaultParagraphFont"/>
    <w:uiPriority w:val="99"/>
    <w:semiHidden/>
    <w:unhideWhenUsed/>
    <w:rsid w:val="00D158BD"/>
    <w:rPr>
      <w:vertAlign w:val="superscript"/>
    </w:rPr>
  </w:style>
  <w:style w:type="character" w:styleId="HTMLCite">
    <w:name w:val="HTML Cite"/>
    <w:basedOn w:val="DefaultParagraphFont"/>
    <w:uiPriority w:val="99"/>
    <w:semiHidden/>
    <w:unhideWhenUsed/>
    <w:rsid w:val="00B0664E"/>
    <w:rPr>
      <w:i w:val="0"/>
      <w:iCs w:val="0"/>
      <w:color w:val="006D21"/>
    </w:rPr>
  </w:style>
  <w:style w:type="character" w:styleId="Strong">
    <w:name w:val="Strong"/>
    <w:basedOn w:val="DefaultParagraphFont"/>
    <w:uiPriority w:val="22"/>
    <w:qFormat/>
    <w:rsid w:val="00B0664E"/>
    <w:rPr>
      <w:b/>
      <w:bCs/>
    </w:rPr>
  </w:style>
  <w:style w:type="character" w:styleId="Hyperlink">
    <w:name w:val="Hyperlink"/>
    <w:basedOn w:val="DefaultParagraphFont"/>
    <w:uiPriority w:val="99"/>
    <w:unhideWhenUsed/>
    <w:rsid w:val="004F4C21"/>
    <w:rPr>
      <w:color w:val="CC9900" w:themeColor="hyperlink"/>
      <w:u w:val="single"/>
    </w:rPr>
  </w:style>
  <w:style w:type="character" w:customStyle="1" w:styleId="UnresolvedMention1">
    <w:name w:val="Unresolved Mention1"/>
    <w:basedOn w:val="DefaultParagraphFont"/>
    <w:uiPriority w:val="99"/>
    <w:semiHidden/>
    <w:unhideWhenUsed/>
    <w:rsid w:val="004F4C21"/>
    <w:rPr>
      <w:color w:val="808080"/>
      <w:shd w:val="clear" w:color="auto" w:fill="E6E6E6"/>
    </w:rPr>
  </w:style>
  <w:style w:type="character" w:styleId="CommentReference">
    <w:name w:val="annotation reference"/>
    <w:basedOn w:val="DefaultParagraphFont"/>
    <w:uiPriority w:val="99"/>
    <w:semiHidden/>
    <w:unhideWhenUsed/>
    <w:rsid w:val="005173F8"/>
    <w:rPr>
      <w:sz w:val="16"/>
      <w:szCs w:val="16"/>
    </w:rPr>
  </w:style>
  <w:style w:type="paragraph" w:styleId="CommentText">
    <w:name w:val="annotation text"/>
    <w:basedOn w:val="Normal"/>
    <w:link w:val="CommentTextChar"/>
    <w:uiPriority w:val="99"/>
    <w:semiHidden/>
    <w:unhideWhenUsed/>
    <w:rsid w:val="005173F8"/>
    <w:rPr>
      <w:sz w:val="20"/>
      <w:szCs w:val="20"/>
    </w:rPr>
  </w:style>
  <w:style w:type="character" w:customStyle="1" w:styleId="CommentTextChar">
    <w:name w:val="Comment Text Char"/>
    <w:basedOn w:val="DefaultParagraphFont"/>
    <w:link w:val="CommentText"/>
    <w:uiPriority w:val="99"/>
    <w:semiHidden/>
    <w:rsid w:val="005173F8"/>
    <w:rPr>
      <w:sz w:val="20"/>
      <w:szCs w:val="20"/>
    </w:rPr>
  </w:style>
  <w:style w:type="paragraph" w:styleId="CommentSubject">
    <w:name w:val="annotation subject"/>
    <w:basedOn w:val="CommentText"/>
    <w:next w:val="CommentText"/>
    <w:link w:val="CommentSubjectChar"/>
    <w:uiPriority w:val="99"/>
    <w:semiHidden/>
    <w:unhideWhenUsed/>
    <w:rsid w:val="005173F8"/>
    <w:rPr>
      <w:b/>
      <w:bCs/>
    </w:rPr>
  </w:style>
  <w:style w:type="character" w:customStyle="1" w:styleId="CommentSubjectChar">
    <w:name w:val="Comment Subject Char"/>
    <w:basedOn w:val="CommentTextChar"/>
    <w:link w:val="CommentSubject"/>
    <w:uiPriority w:val="99"/>
    <w:semiHidden/>
    <w:rsid w:val="005173F8"/>
    <w:rPr>
      <w:b/>
      <w:bCs/>
      <w:sz w:val="20"/>
      <w:szCs w:val="20"/>
    </w:rPr>
  </w:style>
  <w:style w:type="paragraph" w:styleId="Revision">
    <w:name w:val="Revision"/>
    <w:hidden/>
    <w:uiPriority w:val="99"/>
    <w:semiHidden/>
    <w:rsid w:val="004829F3"/>
  </w:style>
  <w:style w:type="paragraph" w:customStyle="1" w:styleId="Level1">
    <w:name w:val="Level 1"/>
    <w:basedOn w:val="Normal"/>
    <w:next w:val="Normal"/>
    <w:uiPriority w:val="49"/>
    <w:qFormat/>
    <w:rsid w:val="00391091"/>
    <w:pPr>
      <w:keepNext/>
      <w:numPr>
        <w:numId w:val="33"/>
      </w:numPr>
      <w:tabs>
        <w:tab w:val="left" w:pos="624"/>
      </w:tabs>
      <w:spacing w:before="120" w:after="120" w:line="336" w:lineRule="auto"/>
      <w:ind w:left="624"/>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Normal"/>
    <w:uiPriority w:val="49"/>
    <w:qFormat/>
    <w:rsid w:val="00391091"/>
    <w:pPr>
      <w:keepNext/>
      <w:numPr>
        <w:ilvl w:val="1"/>
        <w:numId w:val="33"/>
      </w:numPr>
      <w:tabs>
        <w:tab w:val="left" w:pos="624"/>
      </w:tabs>
      <w:spacing w:before="120" w:after="120" w:line="336"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uiPriority w:val="49"/>
    <w:qFormat/>
    <w:rsid w:val="00391091"/>
    <w:pPr>
      <w:numPr>
        <w:ilvl w:val="2"/>
        <w:numId w:val="33"/>
      </w:numPr>
      <w:tabs>
        <w:tab w:val="clear" w:pos="680"/>
        <w:tab w:val="left" w:pos="624"/>
      </w:tabs>
      <w:spacing w:after="120" w:line="336" w:lineRule="auto"/>
      <w:ind w:left="624"/>
      <w:jc w:val="both"/>
      <w:outlineLvl w:val="2"/>
    </w:pPr>
    <w:rPr>
      <w:rFonts w:ascii="Arial" w:eastAsia="Times New Roman" w:hAnsi="Arial" w:cs="Times New Roman"/>
      <w:w w:val="105"/>
      <w:kern w:val="20"/>
      <w:sz w:val="20"/>
      <w:szCs w:val="20"/>
    </w:rPr>
  </w:style>
  <w:style w:type="paragraph" w:customStyle="1" w:styleId="Level5">
    <w:name w:val="Level 5"/>
    <w:basedOn w:val="Normal"/>
    <w:uiPriority w:val="49"/>
    <w:qFormat/>
    <w:rsid w:val="00391091"/>
    <w:pPr>
      <w:numPr>
        <w:ilvl w:val="4"/>
        <w:numId w:val="33"/>
      </w:numPr>
      <w:tabs>
        <w:tab w:val="left" w:pos="1758"/>
      </w:tabs>
      <w:spacing w:after="120" w:line="336" w:lineRule="auto"/>
      <w:jc w:val="both"/>
      <w:outlineLvl w:val="4"/>
    </w:pPr>
    <w:rPr>
      <w:rFonts w:ascii="Arial" w:eastAsia="Times New Roman" w:hAnsi="Arial" w:cs="Times New Roman"/>
      <w:w w:val="105"/>
      <w:kern w:val="20"/>
      <w:sz w:val="20"/>
      <w:szCs w:val="20"/>
    </w:rPr>
  </w:style>
  <w:style w:type="paragraph" w:customStyle="1" w:styleId="Level6">
    <w:name w:val="Level 6"/>
    <w:basedOn w:val="Level5"/>
    <w:uiPriority w:val="49"/>
    <w:qFormat/>
    <w:rsid w:val="00391091"/>
    <w:pPr>
      <w:numPr>
        <w:ilvl w:val="5"/>
      </w:numPr>
      <w:outlineLvl w:val="5"/>
    </w:pPr>
  </w:style>
  <w:style w:type="paragraph" w:customStyle="1" w:styleId="Level7">
    <w:name w:val="Level 7"/>
    <w:basedOn w:val="Normal"/>
    <w:uiPriority w:val="49"/>
    <w:qFormat/>
    <w:rsid w:val="00391091"/>
    <w:pPr>
      <w:numPr>
        <w:ilvl w:val="6"/>
        <w:numId w:val="33"/>
      </w:numPr>
      <w:spacing w:after="120" w:line="336" w:lineRule="auto"/>
      <w:jc w:val="both"/>
      <w:outlineLvl w:val="6"/>
    </w:pPr>
    <w:rPr>
      <w:rFonts w:ascii="Arial" w:eastAsia="Times New Roman" w:hAnsi="Arial" w:cs="Times New Roman"/>
      <w:w w:val="105"/>
      <w:kern w:val="20"/>
      <w:sz w:val="20"/>
      <w:szCs w:val="20"/>
    </w:rPr>
  </w:style>
  <w:style w:type="paragraph" w:customStyle="1" w:styleId="StyleLevel4Left1cmFirstline0cm">
    <w:name w:val="Style Level 4 + Left:  1 cm First line:  0 cm"/>
    <w:basedOn w:val="Normal"/>
    <w:uiPriority w:val="49"/>
    <w:qFormat/>
    <w:rsid w:val="00391091"/>
    <w:pPr>
      <w:numPr>
        <w:ilvl w:val="3"/>
        <w:numId w:val="33"/>
      </w:numPr>
      <w:spacing w:after="120" w:line="336" w:lineRule="auto"/>
      <w:ind w:left="624" w:firstLine="0"/>
      <w:jc w:val="both"/>
      <w:outlineLvl w:val="3"/>
    </w:pPr>
    <w:rPr>
      <w:rFonts w:ascii="Arial" w:eastAsia="Times New Roman" w:hAnsi="Arial" w:cs="Times New Roman"/>
      <w:w w:val="105"/>
      <w:kern w:val="20"/>
      <w:sz w:val="20"/>
      <w:szCs w:val="20"/>
    </w:rPr>
  </w:style>
  <w:style w:type="paragraph" w:styleId="Header">
    <w:name w:val="header"/>
    <w:basedOn w:val="Normal"/>
    <w:link w:val="HeaderChar"/>
    <w:uiPriority w:val="99"/>
    <w:unhideWhenUsed/>
    <w:rsid w:val="00007B1D"/>
    <w:pPr>
      <w:tabs>
        <w:tab w:val="center" w:pos="4513"/>
        <w:tab w:val="right" w:pos="9026"/>
      </w:tabs>
    </w:pPr>
  </w:style>
  <w:style w:type="character" w:customStyle="1" w:styleId="HeaderChar">
    <w:name w:val="Header Char"/>
    <w:basedOn w:val="DefaultParagraphFont"/>
    <w:link w:val="Header"/>
    <w:uiPriority w:val="99"/>
    <w:rsid w:val="00007B1D"/>
  </w:style>
  <w:style w:type="paragraph" w:styleId="Footer">
    <w:name w:val="footer"/>
    <w:basedOn w:val="Normal"/>
    <w:link w:val="FooterChar"/>
    <w:uiPriority w:val="99"/>
    <w:unhideWhenUsed/>
    <w:rsid w:val="00007B1D"/>
    <w:pPr>
      <w:tabs>
        <w:tab w:val="center" w:pos="4513"/>
        <w:tab w:val="right" w:pos="9026"/>
      </w:tabs>
    </w:pPr>
  </w:style>
  <w:style w:type="character" w:customStyle="1" w:styleId="FooterChar">
    <w:name w:val="Footer Char"/>
    <w:basedOn w:val="DefaultParagraphFont"/>
    <w:link w:val="Footer"/>
    <w:uiPriority w:val="99"/>
    <w:rsid w:val="00007B1D"/>
  </w:style>
  <w:style w:type="paragraph" w:customStyle="1" w:styleId="zz1794basebodytext">
    <w:name w:val="zz1794base body text"/>
    <w:uiPriority w:val="99"/>
    <w:semiHidden/>
    <w:qFormat/>
    <w:rsid w:val="0034247B"/>
    <w:pPr>
      <w:spacing w:after="240" w:line="360" w:lineRule="auto"/>
      <w:jc w:val="both"/>
    </w:pPr>
    <w:rPr>
      <w:rFonts w:ascii="Arial" w:eastAsia="Times New Roman" w:hAnsi="Arial" w:cs="Times New Roman"/>
      <w:sz w:val="20"/>
      <w:szCs w:val="20"/>
      <w:lang w:eastAsia="en-CA"/>
    </w:rPr>
  </w:style>
  <w:style w:type="character" w:customStyle="1" w:styleId="Heading3Char">
    <w:name w:val="Heading 3 Char"/>
    <w:basedOn w:val="DefaultParagraphFont"/>
    <w:link w:val="Heading3"/>
    <w:uiPriority w:val="9"/>
    <w:rsid w:val="00E0168E"/>
    <w:rPr>
      <w:rFonts w:asciiTheme="majorHAnsi" w:eastAsiaTheme="majorEastAsia" w:hAnsiTheme="majorHAnsi" w:cstheme="majorBidi"/>
      <w:color w:val="68230B" w:themeColor="accent1" w:themeShade="7F"/>
      <w:sz w:val="24"/>
      <w:szCs w:val="24"/>
    </w:rPr>
  </w:style>
  <w:style w:type="character" w:styleId="UnresolvedMention">
    <w:name w:val="Unresolved Mention"/>
    <w:basedOn w:val="DefaultParagraphFont"/>
    <w:uiPriority w:val="99"/>
    <w:semiHidden/>
    <w:unhideWhenUsed/>
    <w:rsid w:val="00CD20F9"/>
    <w:rPr>
      <w:color w:val="605E5C"/>
      <w:shd w:val="clear" w:color="auto" w:fill="E1DFDD"/>
    </w:rPr>
  </w:style>
  <w:style w:type="character" w:styleId="SubtleEmphasis">
    <w:name w:val="Subtle Emphasis"/>
    <w:basedOn w:val="DefaultParagraphFont"/>
    <w:uiPriority w:val="19"/>
    <w:qFormat/>
    <w:rsid w:val="009856D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b.org.mt/"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db.org.mt" TargetMode="External"/><Relationship Id="rId12" Type="http://schemas.openxmlformats.org/officeDocument/2006/relationships/hyperlink" Target="http://www.eufunds.gov.m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db.org.m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db.org.m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info@mdb.org.m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14.223.01.0007.01.E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C01CB1A191642A93FAD06748D5768" ma:contentTypeVersion="1" ma:contentTypeDescription="Create a new document." ma:contentTypeScope="" ma:versionID="9ac02965346e1be58ad67af039b02dc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D6AB69-46D2-4F7C-9F2B-3D01F7A79336}"/>
</file>

<file path=customXml/itemProps2.xml><?xml version="1.0" encoding="utf-8"?>
<ds:datastoreItem xmlns:ds="http://schemas.openxmlformats.org/officeDocument/2006/customXml" ds:itemID="{5B6B1387-F469-43F7-96CA-89155038312B}"/>
</file>

<file path=customXml/itemProps3.xml><?xml version="1.0" encoding="utf-8"?>
<ds:datastoreItem xmlns:ds="http://schemas.openxmlformats.org/officeDocument/2006/customXml" ds:itemID="{B2F81EA9-D29D-42E2-A504-9F341D8E832A}"/>
</file>

<file path=docProps/app.xml><?xml version="1.0" encoding="utf-8"?>
<Properties xmlns="http://schemas.openxmlformats.org/officeDocument/2006/extended-properties" xmlns:vt="http://schemas.openxmlformats.org/officeDocument/2006/docPropsVTypes">
  <Template>Normal.dotm</Template>
  <TotalTime>0</TotalTime>
  <Pages>32</Pages>
  <Words>10030</Words>
  <Characters>57171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Service FSMA</dc:title>
  <dc:subject/>
  <dc:creator/>
  <cp:keywords/>
  <dc:description/>
  <cp:lastModifiedBy/>
  <cp:revision>1</cp:revision>
  <dcterms:created xsi:type="dcterms:W3CDTF">2019-06-20T10:29:00Z</dcterms:created>
  <dcterms:modified xsi:type="dcterms:W3CDTF">2019-06-20T10:30:00Z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0x010100104C01CB1A191642A93FAD06748D5768</vt:lpwstr>
  </property>
</Properties>
</file>